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2E4A" w:rsidRDefault="00852442">
      <w:pPr>
        <w:pStyle w:val="Header"/>
        <w:tabs>
          <w:tab w:val="right" w:pos="9639"/>
        </w:tabs>
        <w:overflowPunct w:val="0"/>
        <w:autoSpaceDE w:val="0"/>
        <w:autoSpaceDN w:val="0"/>
        <w:adjustRightInd w:val="0"/>
        <w:textAlignment w:val="baseline"/>
        <w:rPr>
          <w:b w:val="0"/>
          <w:bCs/>
          <w:sz w:val="24"/>
          <w:szCs w:val="24"/>
          <w:lang w:eastAsia="ja-JP"/>
        </w:rPr>
      </w:pPr>
      <w:r>
        <w:rPr>
          <w:bCs/>
          <w:sz w:val="24"/>
          <w:szCs w:val="24"/>
          <w:lang w:eastAsia="ja-JP"/>
        </w:rPr>
        <w:t>3GPP T</w:t>
      </w:r>
      <w:bookmarkStart w:id="0" w:name="_Ref452454252"/>
      <w:bookmarkEnd w:id="0"/>
      <w:r>
        <w:rPr>
          <w:bCs/>
          <w:sz w:val="24"/>
          <w:szCs w:val="24"/>
          <w:lang w:eastAsia="ja-JP"/>
        </w:rPr>
        <w:t>SG-RAN WG2 #101bis</w:t>
      </w:r>
      <w:r>
        <w:rPr>
          <w:bCs/>
          <w:sz w:val="24"/>
          <w:szCs w:val="24"/>
          <w:lang w:eastAsia="ja-JP"/>
        </w:rPr>
        <w:tab/>
      </w:r>
      <w:r w:rsidR="00E348C2" w:rsidRPr="00E348C2">
        <w:rPr>
          <w:bCs/>
          <w:sz w:val="24"/>
          <w:szCs w:val="24"/>
          <w:lang w:eastAsia="ja-JP"/>
        </w:rPr>
        <w:t>R2-1806221</w:t>
      </w:r>
    </w:p>
    <w:p w:rsidR="001F2E4A" w:rsidRDefault="00852442">
      <w:pPr>
        <w:pStyle w:val="Header"/>
        <w:tabs>
          <w:tab w:val="right" w:pos="9639"/>
        </w:tabs>
        <w:overflowPunct w:val="0"/>
        <w:autoSpaceDE w:val="0"/>
        <w:autoSpaceDN w:val="0"/>
        <w:adjustRightInd w:val="0"/>
        <w:textAlignment w:val="baseline"/>
        <w:rPr>
          <w:bCs/>
          <w:sz w:val="24"/>
          <w:szCs w:val="24"/>
          <w:lang w:eastAsia="ja-JP"/>
        </w:rPr>
      </w:pPr>
      <w:r>
        <w:rPr>
          <w:bCs/>
          <w:sz w:val="24"/>
          <w:szCs w:val="24"/>
          <w:lang w:eastAsia="ja-JP"/>
        </w:rPr>
        <w:t>Sanya, China, 16</w:t>
      </w:r>
      <w:r>
        <w:rPr>
          <w:bCs/>
          <w:sz w:val="24"/>
          <w:szCs w:val="24"/>
          <w:vertAlign w:val="superscript"/>
          <w:lang w:eastAsia="ja-JP"/>
        </w:rPr>
        <w:t>th</w:t>
      </w:r>
      <w:r>
        <w:rPr>
          <w:bCs/>
          <w:sz w:val="24"/>
          <w:szCs w:val="24"/>
          <w:lang w:eastAsia="ja-JP"/>
        </w:rPr>
        <w:t xml:space="preserve"> – 20</w:t>
      </w:r>
      <w:r>
        <w:rPr>
          <w:bCs/>
          <w:sz w:val="24"/>
          <w:szCs w:val="24"/>
          <w:vertAlign w:val="superscript"/>
          <w:lang w:eastAsia="ja-JP"/>
        </w:rPr>
        <w:t>th</w:t>
      </w:r>
      <w:r>
        <w:rPr>
          <w:bCs/>
          <w:sz w:val="24"/>
          <w:szCs w:val="24"/>
          <w:lang w:eastAsia="ja-JP"/>
        </w:rPr>
        <w:t xml:space="preserve"> April 2018</w:t>
      </w:r>
      <w:r>
        <w:rPr>
          <w:bCs/>
          <w:sz w:val="24"/>
          <w:szCs w:val="24"/>
          <w:lang w:eastAsia="ja-JP"/>
        </w:rPr>
        <w:tab/>
      </w:r>
    </w:p>
    <w:p w:rsidR="001F2E4A" w:rsidRDefault="001F2E4A">
      <w:pPr>
        <w:pStyle w:val="Header"/>
        <w:tabs>
          <w:tab w:val="right" w:pos="9639"/>
        </w:tabs>
        <w:overflowPunct w:val="0"/>
        <w:autoSpaceDE w:val="0"/>
        <w:autoSpaceDN w:val="0"/>
        <w:adjustRightInd w:val="0"/>
        <w:textAlignment w:val="baseline"/>
        <w:rPr>
          <w:b w:val="0"/>
          <w:bCs/>
          <w:sz w:val="24"/>
          <w:szCs w:val="24"/>
          <w:lang w:eastAsia="ja-JP"/>
        </w:rPr>
      </w:pPr>
    </w:p>
    <w:p w:rsidR="001F2E4A" w:rsidRDefault="00852442">
      <w:pPr>
        <w:pStyle w:val="CRCoverPage"/>
        <w:ind w:left="1988" w:hanging="1988"/>
        <w:rPr>
          <w:b/>
          <w:sz w:val="24"/>
        </w:rPr>
      </w:pPr>
      <w:r>
        <w:rPr>
          <w:b/>
          <w:sz w:val="24"/>
        </w:rPr>
        <w:t>Agenda Item:</w:t>
      </w:r>
      <w:r>
        <w:rPr>
          <w:b/>
          <w:sz w:val="24"/>
        </w:rPr>
        <w:tab/>
      </w:r>
      <w:r w:rsidR="00CD1CF0">
        <w:rPr>
          <w:b/>
          <w:sz w:val="24"/>
        </w:rPr>
        <w:t>10.3.1.8</w:t>
      </w:r>
    </w:p>
    <w:p w:rsidR="001F2E4A" w:rsidRDefault="00852442">
      <w:pPr>
        <w:pStyle w:val="CRCoverPage"/>
        <w:ind w:left="1988" w:hanging="1988"/>
        <w:rPr>
          <w:b/>
          <w:sz w:val="24"/>
        </w:rPr>
      </w:pPr>
      <w:r>
        <w:rPr>
          <w:b/>
          <w:sz w:val="24"/>
        </w:rPr>
        <w:t>Souce:</w:t>
      </w:r>
      <w:r>
        <w:rPr>
          <w:b/>
          <w:sz w:val="24"/>
        </w:rPr>
        <w:tab/>
        <w:t>MediaTek Inc.</w:t>
      </w:r>
    </w:p>
    <w:p w:rsidR="001F2E4A" w:rsidRDefault="00852442">
      <w:pPr>
        <w:pStyle w:val="CRCoverPage"/>
        <w:ind w:left="1988" w:hanging="1988"/>
        <w:rPr>
          <w:b/>
          <w:sz w:val="24"/>
        </w:rPr>
      </w:pPr>
      <w:bookmarkStart w:id="1" w:name="OLE_LINK2"/>
      <w:bookmarkStart w:id="2" w:name="OLE_LINK1"/>
      <w:r>
        <w:rPr>
          <w:b/>
          <w:sz w:val="24"/>
        </w:rPr>
        <w:t>Title:</w:t>
      </w:r>
      <w:r>
        <w:rPr>
          <w:b/>
          <w:sz w:val="24"/>
        </w:rPr>
        <w:tab/>
        <w:t>Offline discussion #110 [BWP switch and configured grant Type 1]</w:t>
      </w:r>
    </w:p>
    <w:p w:rsidR="001F2E4A" w:rsidRDefault="00852442">
      <w:pPr>
        <w:pStyle w:val="CRCoverPage"/>
        <w:ind w:left="1988" w:hanging="1988"/>
        <w:rPr>
          <w:b/>
          <w:sz w:val="24"/>
        </w:rPr>
      </w:pPr>
      <w:r>
        <w:rPr>
          <w:b/>
          <w:sz w:val="24"/>
        </w:rPr>
        <w:t>Document for:</w:t>
      </w:r>
      <w:r>
        <w:rPr>
          <w:b/>
          <w:sz w:val="24"/>
        </w:rPr>
        <w:tab/>
        <w:t>Discussion and decision</w:t>
      </w:r>
      <w:bookmarkEnd w:id="1"/>
      <w:bookmarkEnd w:id="2"/>
    </w:p>
    <w:p w:rsidR="001F2E4A" w:rsidRDefault="00852442">
      <w:pPr>
        <w:pStyle w:val="Heading1"/>
        <w:rPr>
          <w:lang w:val="en-US" w:eastAsia="ko-KR"/>
        </w:rPr>
      </w:pPr>
      <w:r>
        <w:rPr>
          <w:lang w:val="en-US" w:eastAsia="ko-KR"/>
        </w:rPr>
        <w:t>1 Introduction</w:t>
      </w:r>
    </w:p>
    <w:p w:rsidR="001F2E4A" w:rsidRDefault="00852442">
      <w:r>
        <w:t>This contribution discusses the expected behaviour of a UE with a configured grant Type 1 configuration when the BWP is switched. Type 1 configured grants are completely configured by RRC and are specified for each BWP. The UE can immediately start using these grants after the RRC configuration without any further NW indications.</w:t>
      </w:r>
    </w:p>
    <w:p w:rsidR="001F2E4A" w:rsidRDefault="00852442">
      <w:pPr>
        <w:pStyle w:val="Heading1"/>
      </w:pPr>
      <w:r>
        <w:t>2 Discussion</w:t>
      </w:r>
    </w:p>
    <w:p w:rsidR="001F2E4A" w:rsidRDefault="00852442">
      <w:pPr>
        <w:pStyle w:val="Heading2"/>
      </w:pPr>
      <w:r>
        <w:t>BWP switch during ongoing repetitions</w:t>
      </w:r>
    </w:p>
    <w:p w:rsidR="001F2E4A" w:rsidRDefault="00D168A9">
      <w:r>
        <w:rPr>
          <w:lang w:val="en-US" w:eastAsia="zh-CN"/>
        </w:rPr>
        <w:pict>
          <v:shapetype id="_x0000_t202" coordsize="21600,21600" o:spt="202" path="m,l,21600r21600,l21600,xe">
            <v:stroke joinstyle="miter"/>
            <v:path gradientshapeok="t" o:connecttype="rect"/>
          </v:shapetype>
          <v:shape id="_x0000_s1026" type="#_x0000_t202" style="position:absolute;left:0;text-align:left;margin-left:1.35pt;margin-top:25.65pt;width:520.3pt;height:124.95pt;z-index:251661312;mso-wrap-distance-top:3.6pt;mso-wrap-distance-bottom:3.6pt" o:gfxdata="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tQkwc2AAAAAkBAAAPAAAAAAAAAAEA&#10;IAAAACIAAABkcnMvZG93bnJldi54bWxQSwECFAAUAAAACACHTuJAC0NZOA8CAAAuBAAADgAAAAAA&#10;AAABACAAAAAnAQAAZHJzL2Uyb0RvYy54bWxQSwUGAAAAAAYABgBZAQAAqAUAAAAA&#10;">
            <v:textbox>
              <w:txbxContent>
                <w:p w:rsidR="001F2E4A" w:rsidRDefault="00852442">
                  <w:pPr>
                    <w:overflowPunct/>
                    <w:autoSpaceDE/>
                    <w:autoSpaceDN/>
                    <w:adjustRightInd/>
                    <w:jc w:val="left"/>
                    <w:textAlignment w:val="auto"/>
                    <w:rPr>
                      <w:rFonts w:ascii="Times New Roman" w:eastAsia="Malgun Gothic" w:hAnsi="Times New Roman"/>
                      <w:lang w:eastAsia="ko-KR"/>
                    </w:rPr>
                  </w:pPr>
                  <w:r>
                    <w:rPr>
                      <w:rFonts w:ascii="Times New Roman" w:eastAsia="Malgun Gothic" w:hAnsi="Times New Roman"/>
                      <w:lang w:eastAsia="ko-KR"/>
                    </w:rPr>
                    <w:t xml:space="preserve">When the MAC entity is configured with </w:t>
                  </w:r>
                  <w:r>
                    <w:rPr>
                      <w:rFonts w:ascii="Times New Roman" w:eastAsia="Malgun Gothic" w:hAnsi="Times New Roman"/>
                      <w:i/>
                      <w:lang w:eastAsia="ko-KR"/>
                    </w:rPr>
                    <w:t>pusch-AggregationFactor</w:t>
                  </w:r>
                  <w:r>
                    <w:rPr>
                      <w:rFonts w:ascii="Times New Roman" w:eastAsia="Malgun Gothic" w:hAnsi="Times New Roman"/>
                      <w:lang w:eastAsia="ko-KR"/>
                    </w:rPr>
                    <w:t xml:space="preserve"> &gt; 1, the parameter </w:t>
                  </w:r>
                  <w:r>
                    <w:rPr>
                      <w:rFonts w:ascii="Times New Roman" w:eastAsia="Malgun Gothic" w:hAnsi="Times New Roman"/>
                      <w:i/>
                      <w:lang w:eastAsia="ko-KR"/>
                    </w:rPr>
                    <w:t>pusch-AggregationFactor</w:t>
                  </w:r>
                  <w:r>
                    <w:rPr>
                      <w:rFonts w:ascii="Times New Roman" w:eastAsia="Malgun Gothic" w:hAnsi="Times New Roman"/>
                      <w:lang w:eastAsia="ko-KR"/>
                    </w:rPr>
                    <w:t xml:space="preserve"> provides the number of transmissions of a TB within a bundle of the dynamic grant. After the initial transmission, </w:t>
                  </w:r>
                  <w:r>
                    <w:rPr>
                      <w:rFonts w:ascii="Times New Roman" w:eastAsia="Malgun Gothic" w:hAnsi="Times New Roman"/>
                      <w:i/>
                      <w:lang w:eastAsia="ko-KR"/>
                    </w:rPr>
                    <w:t>pusch-AggregationFactor</w:t>
                  </w:r>
                  <w:r>
                    <w:rPr>
                      <w:rFonts w:ascii="Times New Roman" w:eastAsia="Malgun Gothic" w:hAnsi="Times New Roman"/>
                      <w:lang w:eastAsia="ko-KR"/>
                    </w:rPr>
                    <w:t xml:space="preserve"> – 1 HARQ retransmissions follow within a bundle. </w:t>
                  </w:r>
                  <w:r>
                    <w:rPr>
                      <w:rFonts w:ascii="Times New Roman" w:eastAsia="Malgun Gothic" w:hAnsi="Times New Roman"/>
                      <w:highlight w:val="yellow"/>
                      <w:lang w:eastAsia="ko-KR"/>
                    </w:rPr>
                    <w:t xml:space="preserve">When the MAC entity is configured with </w:t>
                  </w:r>
                  <w:r>
                    <w:rPr>
                      <w:rFonts w:ascii="Times New Roman" w:eastAsia="Malgun Gothic" w:hAnsi="Times New Roman"/>
                      <w:i/>
                      <w:highlight w:val="yellow"/>
                      <w:lang w:eastAsia="ko-KR"/>
                    </w:rPr>
                    <w:t>repK</w:t>
                  </w:r>
                  <w:r>
                    <w:rPr>
                      <w:rFonts w:ascii="Times New Roman" w:eastAsia="Malgun Gothic" w:hAnsi="Times New Roman"/>
                      <w:highlight w:val="yellow"/>
                      <w:lang w:eastAsia="ko-KR"/>
                    </w:rPr>
                    <w:t xml:space="preserve"> &gt; 1, the parameter </w:t>
                  </w:r>
                  <w:r>
                    <w:rPr>
                      <w:rFonts w:ascii="Times New Roman" w:eastAsia="Malgun Gothic" w:hAnsi="Times New Roman"/>
                      <w:i/>
                      <w:highlight w:val="yellow"/>
                      <w:lang w:eastAsia="ko-KR"/>
                    </w:rPr>
                    <w:t>repK</w:t>
                  </w:r>
                  <w:r>
                    <w:rPr>
                      <w:rFonts w:ascii="Times New Roman" w:eastAsia="Malgun Gothic" w:hAnsi="Times New Roman"/>
                      <w:highlight w:val="yellow"/>
                      <w:lang w:eastAsia="ko-KR"/>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bunde.</w:t>
                  </w:r>
                  <w:r>
                    <w:rPr>
                      <w:rFonts w:ascii="Times New Roman" w:eastAsia="Malgun Gothic" w:hAnsi="Times New Roman"/>
                      <w:lang w:eastAsia="ko-KR"/>
                    </w:rPr>
                    <w:t xml:space="preserve"> Within a bundle, HARQ retransmissions are triggered without waiting for feedback from previous transmission according to </w:t>
                  </w:r>
                  <w:r>
                    <w:rPr>
                      <w:rFonts w:ascii="Times New Roman" w:eastAsia="Malgun Gothic" w:hAnsi="Times New Roman"/>
                      <w:i/>
                      <w:lang w:eastAsia="ko-KR"/>
                    </w:rPr>
                    <w:t>pusch-AggregationFactor</w:t>
                  </w:r>
                  <w:r>
                    <w:rPr>
                      <w:rFonts w:ascii="Times New Roman" w:eastAsia="Malgun Gothic" w:hAnsi="Times New Roman"/>
                      <w:lang w:eastAsia="ko-KR"/>
                    </w:rPr>
                    <w:t xml:space="preserve"> for a dynamic grant and </w:t>
                  </w:r>
                  <w:r>
                    <w:rPr>
                      <w:rFonts w:ascii="Times New Roman" w:eastAsia="Malgun Gothic" w:hAnsi="Times New Roman"/>
                      <w:i/>
                      <w:lang w:eastAsia="ko-KR"/>
                    </w:rPr>
                    <w:t>repK</w:t>
                  </w:r>
                  <w:r>
                    <w:rPr>
                      <w:rFonts w:ascii="Times New Roman" w:eastAsia="Malgun Gothic" w:hAnsi="Times New Roman"/>
                      <w:lang w:eastAsia="ko-KR"/>
                    </w:rPr>
                    <w:t xml:space="preserve"> for a configured uplink grant, respectively. Each transmission within a bundle is a separate uplink grant after the initial uplink grant within a bundle is delivered to the HARQ entity.</w:t>
                  </w:r>
                </w:p>
                <w:p w:rsidR="001F2E4A" w:rsidRDefault="001F2E4A"/>
              </w:txbxContent>
            </v:textbox>
            <w10:wrap type="square"/>
          </v:shape>
        </w:pict>
      </w:r>
      <w:r w:rsidR="00852442">
        <w:t>Repetitions can be configured for configured grants as in the highlighted text below from 38.321:</w:t>
      </w:r>
    </w:p>
    <w:p w:rsidR="001F2E4A" w:rsidRDefault="00852442">
      <w:r>
        <w:t xml:space="preserve">The text above specifies that repetitions take place on each configured grant occasion until </w:t>
      </w:r>
      <w:r>
        <w:rPr>
          <w:i/>
        </w:rPr>
        <w:t>repK</w:t>
      </w:r>
      <w:r>
        <w:t xml:space="preserve"> number of transmissions of the transport block (TB) are complete. However as repetitions are non-adaptive retransmissions of a TB from the same HARQ process, whether they can continue on configured grants on the new BWP after a BWP switch depends on its configuration. </w:t>
      </w:r>
    </w:p>
    <w:p w:rsidR="001F2E4A" w:rsidRDefault="00852442">
      <w:r>
        <w:t>For example, if the size of the configured grant on the new BWP changes as illustrated below, non-adaptive retransmissions i.e. repetitions cannot take place, as the size of the TB in the HARQ process does not match the grant.</w:t>
      </w:r>
    </w:p>
    <w:p w:rsidR="001F2E4A" w:rsidRDefault="00852442">
      <w:pPr>
        <w:jc w:val="center"/>
      </w:pPr>
      <w:r>
        <w:rPr>
          <w:noProof/>
          <w:lang w:eastAsia="en-GB"/>
        </w:rPr>
        <w:drawing>
          <wp:inline distT="0" distB="0" distL="0" distR="0">
            <wp:extent cx="5182235" cy="277368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182235" cy="2773680"/>
                    </a:xfrm>
                    <a:prstGeom prst="rect">
                      <a:avLst/>
                    </a:prstGeom>
                    <a:noFill/>
                  </pic:spPr>
                </pic:pic>
              </a:graphicData>
            </a:graphic>
          </wp:inline>
        </w:drawing>
      </w:r>
    </w:p>
    <w:p w:rsidR="001F2E4A" w:rsidRDefault="00852442">
      <w:pPr>
        <w:rPr>
          <w:b/>
        </w:rPr>
      </w:pPr>
      <w:r>
        <w:rPr>
          <w:b/>
        </w:rPr>
        <w:t>Q1: What is the expected UE behaviour if the active BWP is switched when repetitions are ongoing?</w:t>
      </w:r>
    </w:p>
    <w:p w:rsidR="001F2E4A" w:rsidRDefault="00852442">
      <w:pPr>
        <w:ind w:left="720"/>
        <w:rPr>
          <w:b/>
        </w:rPr>
      </w:pPr>
      <w:r>
        <w:rPr>
          <w:b/>
        </w:rPr>
        <w:lastRenderedPageBreak/>
        <w:t>Option 1: The UE continues with repetitions on the new BWP, if possible. The MAC specification would need to be updated to specify the cases when the UE can or cannot continue with repetitions.</w:t>
      </w:r>
    </w:p>
    <w:p w:rsidR="001F2E4A" w:rsidRDefault="00852442">
      <w:pPr>
        <w:ind w:left="720"/>
        <w:rPr>
          <w:b/>
        </w:rPr>
      </w:pPr>
      <w:r>
        <w:rPr>
          <w:b/>
        </w:rPr>
        <w:t>Option 2: The UE stops repetitions of the TB when the BWP is switched.</w:t>
      </w:r>
    </w:p>
    <w:p w:rsidR="001F2E4A" w:rsidRDefault="00852442">
      <w:pPr>
        <w:ind w:left="720"/>
        <w:rPr>
          <w:b/>
        </w:rPr>
      </w:pPr>
      <w:r>
        <w:rPr>
          <w:b/>
        </w:rPr>
        <w:t>Option 3: Do not change anything. This problem is assumed to be solved by NW configuration, and if the problem arises, the UE behaviour is not specified.</w:t>
      </w:r>
    </w:p>
    <w:p w:rsidR="001F2E4A" w:rsidRDefault="00852442">
      <w:pPr>
        <w:ind w:left="720"/>
        <w:rPr>
          <w:b/>
        </w:rPr>
      </w:pPr>
      <w:r>
        <w:rPr>
          <w:b/>
        </w:rPr>
        <w:t>Option 4: Alternative solution (please provide details)</w:t>
      </w:r>
    </w:p>
    <w:tbl>
      <w:tblPr>
        <w:tblStyle w:val="TableGrid"/>
        <w:tblW w:w="10485" w:type="dxa"/>
        <w:tblLayout w:type="fixed"/>
        <w:tblLook w:val="04A0" w:firstRow="1" w:lastRow="0" w:firstColumn="1" w:lastColumn="0" w:noHBand="0" w:noVBand="1"/>
      </w:tblPr>
      <w:tblGrid>
        <w:gridCol w:w="1184"/>
        <w:gridCol w:w="1306"/>
        <w:gridCol w:w="7995"/>
      </w:tblGrid>
      <w:tr w:rsidR="001F2E4A">
        <w:tc>
          <w:tcPr>
            <w:tcW w:w="1184" w:type="dxa"/>
            <w:shd w:val="clear" w:color="auto" w:fill="E7E6E6" w:themeFill="background2"/>
          </w:tcPr>
          <w:p w:rsidR="001F2E4A" w:rsidRDefault="00852442">
            <w:pPr>
              <w:rPr>
                <w:b/>
                <w:i/>
              </w:rPr>
            </w:pPr>
            <w:r>
              <w:rPr>
                <w:b/>
                <w:i/>
              </w:rPr>
              <w:t>Company</w:t>
            </w:r>
          </w:p>
        </w:tc>
        <w:tc>
          <w:tcPr>
            <w:tcW w:w="1306" w:type="dxa"/>
            <w:shd w:val="clear" w:color="auto" w:fill="E7E6E6" w:themeFill="background2"/>
          </w:tcPr>
          <w:p w:rsidR="001F2E4A" w:rsidRDefault="00852442">
            <w:pPr>
              <w:rPr>
                <w:b/>
                <w:i/>
              </w:rPr>
            </w:pPr>
            <w:r>
              <w:rPr>
                <w:b/>
                <w:i/>
              </w:rPr>
              <w:t>Preference</w:t>
            </w:r>
          </w:p>
        </w:tc>
        <w:tc>
          <w:tcPr>
            <w:tcW w:w="7995" w:type="dxa"/>
            <w:shd w:val="clear" w:color="auto" w:fill="E7E6E6" w:themeFill="background2"/>
          </w:tcPr>
          <w:p w:rsidR="001F2E4A" w:rsidRDefault="00852442">
            <w:pPr>
              <w:rPr>
                <w:b/>
                <w:i/>
              </w:rPr>
            </w:pPr>
            <w:r>
              <w:rPr>
                <w:b/>
                <w:i/>
              </w:rPr>
              <w:t>Comments</w:t>
            </w:r>
          </w:p>
        </w:tc>
      </w:tr>
      <w:tr w:rsidR="001F2E4A">
        <w:tc>
          <w:tcPr>
            <w:tcW w:w="1184" w:type="dxa"/>
          </w:tcPr>
          <w:p w:rsidR="001F2E4A" w:rsidRDefault="00852442">
            <w:r>
              <w:t>Huawei</w:t>
            </w:r>
          </w:p>
        </w:tc>
        <w:tc>
          <w:tcPr>
            <w:tcW w:w="1306" w:type="dxa"/>
          </w:tcPr>
          <w:p w:rsidR="001F2E4A" w:rsidRDefault="00852442">
            <w:r>
              <w:t>Option 3</w:t>
            </w:r>
          </w:p>
        </w:tc>
        <w:tc>
          <w:tcPr>
            <w:tcW w:w="7995" w:type="dxa"/>
          </w:tcPr>
          <w:p w:rsidR="001F2E4A" w:rsidRDefault="00852442">
            <w:r>
              <w:t>We believe that it is a rare case and should trust NW not to switch BWP during repetitions. Actually, RAN1 has discussed this issue several meetings ago and identified some issues from RAN1 perspective, e.g. even for Type 2 whose activation fields may overlap with BWP switching indication such that a UE may mis-interpret a BWP switching DCI as activation/deactivation DCI. But finally RAN1 decided it is rare case and no need to discuss this. So we think RAN2 should not specify anything for the timing being without knowing clearly if there are some RAN1 issues.</w:t>
            </w:r>
          </w:p>
        </w:tc>
      </w:tr>
      <w:tr w:rsidR="001F2E4A">
        <w:tc>
          <w:tcPr>
            <w:tcW w:w="1184" w:type="dxa"/>
          </w:tcPr>
          <w:p w:rsidR="001F2E4A" w:rsidRDefault="00852442">
            <w:r>
              <w:rPr>
                <w:rFonts w:hint="eastAsia"/>
                <w:lang w:eastAsia="zh-CN"/>
              </w:rPr>
              <w:t>OPPO</w:t>
            </w:r>
          </w:p>
        </w:tc>
        <w:tc>
          <w:tcPr>
            <w:tcW w:w="1306" w:type="dxa"/>
          </w:tcPr>
          <w:p w:rsidR="001F2E4A" w:rsidRDefault="00852442">
            <w:r>
              <w:rPr>
                <w:rFonts w:hint="eastAsia"/>
                <w:lang w:eastAsia="zh-CN"/>
              </w:rPr>
              <w:t>Option 3</w:t>
            </w:r>
          </w:p>
        </w:tc>
        <w:tc>
          <w:tcPr>
            <w:tcW w:w="7995" w:type="dxa"/>
          </w:tcPr>
          <w:p w:rsidR="001F2E4A" w:rsidRDefault="00852442">
            <w:r>
              <w:rPr>
                <w:lang w:eastAsia="zh-CN"/>
              </w:rPr>
              <w:t>W</w:t>
            </w:r>
            <w:r>
              <w:rPr>
                <w:rFonts w:hint="eastAsia"/>
                <w:lang w:eastAsia="zh-CN"/>
              </w:rPr>
              <w:t>e think this is a rare case and the network can handle it, e.g., configured a relative large value of BWP inactivity timer.</w:t>
            </w:r>
          </w:p>
        </w:tc>
      </w:tr>
      <w:tr w:rsidR="001F2E4A">
        <w:tc>
          <w:tcPr>
            <w:tcW w:w="1184" w:type="dxa"/>
          </w:tcPr>
          <w:p w:rsidR="001F2E4A" w:rsidRDefault="00852442">
            <w:pPr>
              <w:rPr>
                <w:lang w:eastAsia="zh-CN"/>
              </w:rPr>
            </w:pPr>
            <w:r>
              <w:rPr>
                <w:rFonts w:hint="eastAsia"/>
                <w:lang w:eastAsia="ko-KR"/>
              </w:rPr>
              <w:t>LG</w:t>
            </w:r>
          </w:p>
        </w:tc>
        <w:tc>
          <w:tcPr>
            <w:tcW w:w="1306" w:type="dxa"/>
          </w:tcPr>
          <w:p w:rsidR="001F2E4A" w:rsidRDefault="00852442">
            <w:pPr>
              <w:rPr>
                <w:lang w:eastAsia="zh-CN"/>
              </w:rPr>
            </w:pPr>
            <w:r>
              <w:rPr>
                <w:rFonts w:hint="eastAsia"/>
                <w:lang w:eastAsia="ko-KR"/>
              </w:rPr>
              <w:t>O</w:t>
            </w:r>
            <w:r>
              <w:rPr>
                <w:lang w:eastAsia="ko-KR"/>
              </w:rPr>
              <w:t>ption 3</w:t>
            </w:r>
          </w:p>
        </w:tc>
        <w:tc>
          <w:tcPr>
            <w:tcW w:w="7995" w:type="dxa"/>
          </w:tcPr>
          <w:p w:rsidR="001F2E4A" w:rsidRDefault="00852442">
            <w:pPr>
              <w:rPr>
                <w:lang w:eastAsia="zh-CN"/>
              </w:rPr>
            </w:pPr>
            <w:r>
              <w:rPr>
                <w:lang w:eastAsia="ko-KR"/>
              </w:rPr>
              <w:t>The MAC restarts the bwp-InactivityTimer whenever a MAC PDU is transmitted in a configured uplink grant. Thus, there seems to be no real case that the BWP switches inbetween the configured uplink grant due to unreasonable short bwp-InactivityTimer.</w:t>
            </w:r>
          </w:p>
        </w:tc>
      </w:tr>
      <w:tr w:rsidR="00BF119E">
        <w:tc>
          <w:tcPr>
            <w:tcW w:w="1184" w:type="dxa"/>
          </w:tcPr>
          <w:p w:rsidR="00BF119E" w:rsidRDefault="00BF119E" w:rsidP="002837D4">
            <w:pPr>
              <w:rPr>
                <w:lang w:eastAsia="zh-CN"/>
              </w:rPr>
            </w:pPr>
            <w:r>
              <w:rPr>
                <w:lang w:eastAsia="zh-CN"/>
              </w:rPr>
              <w:t>MTK</w:t>
            </w:r>
          </w:p>
        </w:tc>
        <w:tc>
          <w:tcPr>
            <w:tcW w:w="1306" w:type="dxa"/>
          </w:tcPr>
          <w:p w:rsidR="00BF119E" w:rsidRDefault="00BF119E" w:rsidP="002837D4">
            <w:pPr>
              <w:rPr>
                <w:lang w:eastAsia="zh-CN"/>
              </w:rPr>
            </w:pPr>
            <w:r>
              <w:rPr>
                <w:lang w:eastAsia="zh-CN"/>
              </w:rPr>
              <w:t>Option 2 or 3</w:t>
            </w:r>
          </w:p>
        </w:tc>
        <w:tc>
          <w:tcPr>
            <w:tcW w:w="7995" w:type="dxa"/>
          </w:tcPr>
          <w:p w:rsidR="00BF119E" w:rsidRDefault="00BF119E" w:rsidP="002837D4">
            <w:pPr>
              <w:rPr>
                <w:lang w:eastAsia="zh-CN"/>
              </w:rPr>
            </w:pPr>
            <w:r>
              <w:rPr>
                <w:lang w:eastAsia="zh-CN"/>
              </w:rPr>
              <w:t>We have a slight preference for Option 2 to have clear UE behaviour specified.</w:t>
            </w:r>
          </w:p>
        </w:tc>
      </w:tr>
      <w:tr w:rsidR="00BF119E">
        <w:tc>
          <w:tcPr>
            <w:tcW w:w="1184" w:type="dxa"/>
          </w:tcPr>
          <w:p w:rsidR="00BF119E" w:rsidRDefault="00BF119E">
            <w:pPr>
              <w:rPr>
                <w:lang w:eastAsia="zh-CN"/>
              </w:rPr>
            </w:pPr>
            <w:r>
              <w:t>InterDigital</w:t>
            </w:r>
          </w:p>
        </w:tc>
        <w:tc>
          <w:tcPr>
            <w:tcW w:w="1306" w:type="dxa"/>
          </w:tcPr>
          <w:p w:rsidR="00BF119E" w:rsidRDefault="00BF119E">
            <w:pPr>
              <w:rPr>
                <w:lang w:eastAsia="zh-CN"/>
              </w:rPr>
            </w:pPr>
            <w:r>
              <w:t>Option 3</w:t>
            </w:r>
          </w:p>
        </w:tc>
        <w:tc>
          <w:tcPr>
            <w:tcW w:w="7995" w:type="dxa"/>
          </w:tcPr>
          <w:p w:rsidR="00BF119E" w:rsidRDefault="00BF119E">
            <w:pPr>
              <w:rPr>
                <w:lang w:eastAsia="zh-CN"/>
              </w:rPr>
            </w:pPr>
            <w:r>
              <w:t>This situation should not happen often. In addition, the size of the configured grant that the network configures is expected to be the same over all UL BWPs. This means that nothing bad happens even if the UE continues with the repetitions.</w:t>
            </w:r>
          </w:p>
        </w:tc>
      </w:tr>
      <w:tr w:rsidR="00BF119E">
        <w:tc>
          <w:tcPr>
            <w:tcW w:w="1184" w:type="dxa"/>
          </w:tcPr>
          <w:p w:rsidR="00BF119E" w:rsidRDefault="00BF119E">
            <w:r>
              <w:rPr>
                <w:lang w:eastAsia="zh-CN"/>
              </w:rPr>
              <w:t>vivo</w:t>
            </w:r>
          </w:p>
        </w:tc>
        <w:tc>
          <w:tcPr>
            <w:tcW w:w="1306" w:type="dxa"/>
          </w:tcPr>
          <w:p w:rsidR="00BF119E" w:rsidRDefault="00BF119E">
            <w:r>
              <w:rPr>
                <w:lang w:eastAsia="zh-CN"/>
              </w:rPr>
              <w:t>Option 3</w:t>
            </w:r>
          </w:p>
        </w:tc>
        <w:tc>
          <w:tcPr>
            <w:tcW w:w="7995" w:type="dxa"/>
          </w:tcPr>
          <w:p w:rsidR="00BF119E" w:rsidRDefault="00BF119E">
            <w:r>
              <w:rPr>
                <w:lang w:eastAsia="zh-CN"/>
              </w:rPr>
              <w:t>It seems this is a corner case. If the network vendor considers that this collision is difficult to be avoided. Maybe this can be left to the UE implementation. For example, the UE can decide whether to drop the transmission based on the service of the data or the TB of the target BWP.</w:t>
            </w:r>
          </w:p>
        </w:tc>
      </w:tr>
      <w:tr w:rsidR="00BF119E">
        <w:tc>
          <w:tcPr>
            <w:tcW w:w="1184" w:type="dxa"/>
          </w:tcPr>
          <w:p w:rsidR="00BF119E" w:rsidRDefault="00BF119E">
            <w:pPr>
              <w:rPr>
                <w:lang w:val="en-US" w:eastAsia="zh-CN"/>
              </w:rPr>
            </w:pPr>
            <w:r>
              <w:rPr>
                <w:rFonts w:hint="eastAsia"/>
                <w:lang w:val="en-US" w:eastAsia="zh-CN"/>
              </w:rPr>
              <w:t>ZTE</w:t>
            </w:r>
          </w:p>
        </w:tc>
        <w:tc>
          <w:tcPr>
            <w:tcW w:w="1306" w:type="dxa"/>
          </w:tcPr>
          <w:p w:rsidR="00BF119E" w:rsidRDefault="00BF119E">
            <w:pPr>
              <w:rPr>
                <w:lang w:val="en-US" w:eastAsia="zh-CN"/>
              </w:rPr>
            </w:pPr>
            <w:r>
              <w:rPr>
                <w:rFonts w:hint="eastAsia"/>
                <w:lang w:val="en-US" w:eastAsia="zh-CN"/>
              </w:rPr>
              <w:t>Option 2</w:t>
            </w:r>
          </w:p>
        </w:tc>
        <w:tc>
          <w:tcPr>
            <w:tcW w:w="7995" w:type="dxa"/>
          </w:tcPr>
          <w:p w:rsidR="00BF119E" w:rsidRDefault="00BF119E">
            <w:pPr>
              <w:rPr>
                <w:lang w:eastAsia="zh-CN"/>
              </w:rPr>
            </w:pPr>
            <w:r>
              <w:rPr>
                <w:rFonts w:eastAsia="SimSun" w:hint="eastAsia"/>
                <w:lang w:val="en-US" w:eastAsia="zh-CN"/>
              </w:rPr>
              <w:t>Since the UL BWP is controlled by NW, thus if UE receive the DCI for UL BWP switch in-between the continuing K-repetition, UE can consider the transmission is successful, stop the current K-repetition transmission and perform the UL BWP switch.</w:t>
            </w:r>
          </w:p>
        </w:tc>
      </w:tr>
      <w:tr w:rsidR="00BF119E">
        <w:tc>
          <w:tcPr>
            <w:tcW w:w="1184" w:type="dxa"/>
          </w:tcPr>
          <w:p w:rsidR="00BF119E" w:rsidRDefault="00BF119E">
            <w:pPr>
              <w:rPr>
                <w:lang w:val="en-US" w:eastAsia="zh-CN"/>
              </w:rPr>
            </w:pPr>
            <w:r>
              <w:rPr>
                <w:rFonts w:hint="eastAsia"/>
                <w:lang w:val="en-US" w:eastAsia="zh-CN"/>
              </w:rPr>
              <w:t>CATT</w:t>
            </w:r>
          </w:p>
        </w:tc>
        <w:tc>
          <w:tcPr>
            <w:tcW w:w="1306" w:type="dxa"/>
          </w:tcPr>
          <w:p w:rsidR="00BF119E" w:rsidRDefault="00BF119E">
            <w:pPr>
              <w:rPr>
                <w:lang w:val="en-US" w:eastAsia="zh-CN"/>
              </w:rPr>
            </w:pPr>
            <w:r>
              <w:rPr>
                <w:rFonts w:hint="eastAsia"/>
                <w:lang w:val="en-US" w:eastAsia="zh-CN"/>
              </w:rPr>
              <w:t>Option 3</w:t>
            </w:r>
          </w:p>
        </w:tc>
        <w:tc>
          <w:tcPr>
            <w:tcW w:w="7995" w:type="dxa"/>
          </w:tcPr>
          <w:p w:rsidR="00BF119E" w:rsidRDefault="00BF119E" w:rsidP="00A95A35">
            <w:pPr>
              <w:rPr>
                <w:rFonts w:eastAsia="SimSun"/>
                <w:lang w:val="en-US" w:eastAsia="zh-CN"/>
              </w:rPr>
            </w:pPr>
            <w:r>
              <w:rPr>
                <w:rFonts w:eastAsia="SimSun" w:hint="eastAsia"/>
                <w:lang w:val="en-US" w:eastAsia="zh-CN"/>
              </w:rPr>
              <w:t>We think NW can control the situation and avoid the confused situation.</w:t>
            </w:r>
          </w:p>
        </w:tc>
      </w:tr>
      <w:tr w:rsidR="00373BD8">
        <w:tc>
          <w:tcPr>
            <w:tcW w:w="1184" w:type="dxa"/>
          </w:tcPr>
          <w:p w:rsidR="00373BD8" w:rsidRDefault="00373BD8" w:rsidP="00373BD8">
            <w:r>
              <w:t>Samsung</w:t>
            </w:r>
          </w:p>
        </w:tc>
        <w:tc>
          <w:tcPr>
            <w:tcW w:w="1306" w:type="dxa"/>
          </w:tcPr>
          <w:p w:rsidR="00373BD8" w:rsidRDefault="00373BD8" w:rsidP="00373BD8">
            <w:r>
              <w:t>Option 3</w:t>
            </w:r>
          </w:p>
        </w:tc>
        <w:tc>
          <w:tcPr>
            <w:tcW w:w="7995" w:type="dxa"/>
          </w:tcPr>
          <w:p w:rsidR="00373BD8" w:rsidRDefault="00373BD8" w:rsidP="00373BD8">
            <w:r>
              <w:t xml:space="preserve">We think that the situation where the NW issues the BWP switch command during ongoing repetitions on a configured grant (set up by the same NW) can be avoided by sensible NW configuration. The only other relevant case for switching is the expiration of </w:t>
            </w:r>
            <w:r>
              <w:rPr>
                <w:lang w:eastAsia="ko-KR"/>
              </w:rPr>
              <w:t>the</w:t>
            </w:r>
            <w:r w:rsidRPr="00216F88">
              <w:rPr>
                <w:lang w:eastAsia="ko-KR"/>
              </w:rPr>
              <w:t xml:space="preserve"> </w:t>
            </w:r>
            <w:r w:rsidRPr="002A7FE6">
              <w:rPr>
                <w:lang w:eastAsia="ko-KR"/>
              </w:rPr>
              <w:t>bwp-InactivityTimer</w:t>
            </w:r>
            <w:r>
              <w:rPr>
                <w:lang w:eastAsia="ko-KR"/>
              </w:rPr>
              <w:t>.</w:t>
            </w:r>
            <w:r>
              <w:t xml:space="preserve"> However and as pointed out by LG, whenever “</w:t>
            </w:r>
            <w:r w:rsidRPr="00216F88">
              <w:rPr>
                <w:lang w:eastAsia="ko-KR"/>
              </w:rPr>
              <w:t>a MAC PDU is transmitted in a configured uplink grant</w:t>
            </w:r>
            <w:r>
              <w:rPr>
                <w:lang w:eastAsia="ko-KR"/>
              </w:rPr>
              <w:t>”, the</w:t>
            </w:r>
            <w:r w:rsidRPr="00216F88">
              <w:rPr>
                <w:lang w:eastAsia="ko-KR"/>
              </w:rPr>
              <w:t xml:space="preserve"> </w:t>
            </w:r>
            <w:r w:rsidRPr="002A7FE6">
              <w:rPr>
                <w:lang w:eastAsia="ko-KR"/>
              </w:rPr>
              <w:t>bwp-InactivityTimer</w:t>
            </w:r>
            <w:r>
              <w:t xml:space="preserve"> is restarted, therefore – as long as the timer value is at least as long as the grant periodicity (which seems sensible NW configuration) – the switch should not happen.</w:t>
            </w:r>
          </w:p>
        </w:tc>
      </w:tr>
      <w:tr w:rsidR="0000060F">
        <w:tc>
          <w:tcPr>
            <w:tcW w:w="1184" w:type="dxa"/>
          </w:tcPr>
          <w:p w:rsidR="0000060F" w:rsidRDefault="0000060F" w:rsidP="0000060F">
            <w:pPr>
              <w:rPr>
                <w:lang w:val="en-US" w:eastAsia="zh-CN"/>
              </w:rPr>
            </w:pPr>
            <w:r>
              <w:rPr>
                <w:lang w:val="en-US" w:eastAsia="zh-CN"/>
              </w:rPr>
              <w:t>Qualcomm</w:t>
            </w:r>
          </w:p>
        </w:tc>
        <w:tc>
          <w:tcPr>
            <w:tcW w:w="1306" w:type="dxa"/>
          </w:tcPr>
          <w:p w:rsidR="0000060F" w:rsidRDefault="0000060F" w:rsidP="0000060F">
            <w:pPr>
              <w:rPr>
                <w:lang w:val="en-US" w:eastAsia="zh-CN"/>
              </w:rPr>
            </w:pPr>
            <w:r>
              <w:rPr>
                <w:lang w:val="en-US" w:eastAsia="zh-CN"/>
              </w:rPr>
              <w:t>Option 3</w:t>
            </w:r>
          </w:p>
        </w:tc>
        <w:tc>
          <w:tcPr>
            <w:tcW w:w="7995" w:type="dxa"/>
          </w:tcPr>
          <w:p w:rsidR="0000060F" w:rsidRDefault="0000060F" w:rsidP="0000060F">
            <w:pPr>
              <w:rPr>
                <w:rFonts w:eastAsia="SimSun"/>
                <w:lang w:val="en-US" w:eastAsia="zh-CN"/>
              </w:rPr>
            </w:pPr>
            <w:r>
              <w:rPr>
                <w:rFonts w:eastAsia="SimSun"/>
                <w:lang w:val="en-US" w:eastAsia="zh-CN"/>
              </w:rPr>
              <w:t>We think nothing needs to be done, because if it is not feasible to continue repetition on the new BWP, network probably would not switch UE to the new BWP.</w:t>
            </w:r>
          </w:p>
        </w:tc>
      </w:tr>
    </w:tbl>
    <w:p w:rsidR="001F2E4A" w:rsidRDefault="001F2E4A"/>
    <w:p w:rsidR="0045224D" w:rsidRDefault="00D168A9">
      <w:r>
        <w:t>9</w:t>
      </w:r>
      <w:r w:rsidR="0045224D">
        <w:t xml:space="preserve"> out of </w:t>
      </w:r>
      <w:r>
        <w:t>10</w:t>
      </w:r>
      <w:r w:rsidR="0045224D">
        <w:t xml:space="preserve"> companies indicated that this issue can be avoided by NW configuration. Based on the feedback, we propose that:</w:t>
      </w:r>
    </w:p>
    <w:p w:rsidR="0045224D" w:rsidRPr="0045224D" w:rsidRDefault="0045224D">
      <w:pPr>
        <w:rPr>
          <w:b/>
        </w:rPr>
      </w:pPr>
      <w:r w:rsidRPr="0045224D">
        <w:rPr>
          <w:b/>
        </w:rPr>
        <w:t xml:space="preserve">Proposal 1: </w:t>
      </w:r>
      <w:r>
        <w:rPr>
          <w:b/>
        </w:rPr>
        <w:t>I</w:t>
      </w:r>
      <w:r w:rsidR="009E3BA0">
        <w:rPr>
          <w:b/>
        </w:rPr>
        <w:t>f the active</w:t>
      </w:r>
      <w:r w:rsidRPr="0045224D">
        <w:rPr>
          <w:b/>
        </w:rPr>
        <w:t xml:space="preserve"> BWP </w:t>
      </w:r>
      <w:r w:rsidR="009E3BA0">
        <w:rPr>
          <w:b/>
        </w:rPr>
        <w:t xml:space="preserve">is </w:t>
      </w:r>
      <w:r w:rsidRPr="0045224D">
        <w:rPr>
          <w:b/>
        </w:rPr>
        <w:t>switch</w:t>
      </w:r>
      <w:r w:rsidR="009E3BA0">
        <w:rPr>
          <w:b/>
        </w:rPr>
        <w:t>ed</w:t>
      </w:r>
      <w:r w:rsidRPr="0045224D">
        <w:rPr>
          <w:b/>
        </w:rPr>
        <w:t xml:space="preserve"> when repetitions are ongoing</w:t>
      </w:r>
      <w:r w:rsidR="00D540CF">
        <w:rPr>
          <w:b/>
        </w:rPr>
        <w:t>, the UE behaviour</w:t>
      </w:r>
      <w:r w:rsidRPr="0045224D">
        <w:rPr>
          <w:b/>
        </w:rPr>
        <w:t xml:space="preserve"> is not specified.</w:t>
      </w:r>
    </w:p>
    <w:p w:rsidR="001F2E4A" w:rsidRDefault="00852442">
      <w:pPr>
        <w:pStyle w:val="Heading2"/>
      </w:pPr>
      <w:r>
        <w:t>BWP switch when the configured grant timer is running</w:t>
      </w:r>
    </w:p>
    <w:p w:rsidR="001F2E4A" w:rsidRDefault="00D168A9">
      <w:r>
        <w:rPr>
          <w:lang w:val="en-US" w:eastAsia="zh-CN"/>
        </w:rPr>
        <w:pict>
          <v:shape id="Text Box 2" o:spid="_x0000_s1027" type="#_x0000_t202" style="position:absolute;left:0;text-align:left;margin-left:-1.4pt;margin-top:30.85pt;width:524.35pt;height:135.8pt;z-index:251659264;mso-wrap-distance-top:3.6pt;mso-wrap-distance-bottom:3.6pt" o:gfxdata="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nH2fY2QAAAAoBAAAPAAAAAAAA&#10;AAEAIAAAACIAAABkcnMvZG93bnJldi54bWxQSwECFAAUAAAACACHTuJAZY2LbRECAAAvBAAADgAA&#10;AAAAAAABACAAAAAoAQAAZHJzL2Uyb0RvYy54bWxQSwUGAAAAAAYABgBZAQAAqwUAAAAA&#10;">
            <v:textbox>
              <w:txbxContent>
                <w:p w:rsidR="001F2E4A" w:rsidRDefault="00852442">
                  <w:pPr>
                    <w:rPr>
                      <w:rFonts w:ascii="Times New Roman" w:eastAsia="Malgun Gothic" w:hAnsi="Times New Roman"/>
                      <w:lang w:eastAsia="ko-KR"/>
                    </w:rPr>
                  </w:pPr>
                  <w:r>
                    <w:rPr>
                      <w:rFonts w:ascii="Times New Roman" w:eastAsia="Malgun Gothic" w:hAnsi="Times New Roman"/>
                      <w:lang w:eastAsia="ko-KR"/>
                    </w:rPr>
                    <w:t xml:space="preserve">For each Serving Cell and </w:t>
                  </w:r>
                  <w:r>
                    <w:rPr>
                      <w:rFonts w:ascii="Times New Roman" w:eastAsia="Malgun Gothic" w:hAnsi="Times New Roman"/>
                      <w:highlight w:val="yellow"/>
                      <w:lang w:eastAsia="ko-KR"/>
                    </w:rPr>
                    <w:t>each configured uplink grant</w:t>
                  </w:r>
                  <w:r>
                    <w:rPr>
                      <w:rFonts w:ascii="Times New Roman" w:eastAsia="Malgun Gothic" w:hAnsi="Times New Roman"/>
                      <w:lang w:eastAsia="ko-KR"/>
                    </w:rPr>
                    <w:t>, if configured and activated, the MAC entity shall:</w:t>
                  </w:r>
                </w:p>
                <w:p w:rsidR="001F2E4A" w:rsidRDefault="00852442">
                  <w:pPr>
                    <w:overflowPunct/>
                    <w:autoSpaceDE/>
                    <w:autoSpaceDN/>
                    <w:adjustRightInd/>
                    <w:ind w:left="568" w:hanging="284"/>
                    <w:jc w:val="left"/>
                    <w:textAlignment w:val="auto"/>
                    <w:rPr>
                      <w:rFonts w:ascii="Times New Roman" w:eastAsia="Malgun Gothic" w:hAnsi="Times New Roman"/>
                      <w:lang w:eastAsia="ko-KR"/>
                    </w:rPr>
                  </w:pPr>
                  <w:r>
                    <w:rPr>
                      <w:rFonts w:ascii="Times New Roman" w:eastAsia="Malgun Gothic" w:hAnsi="Times New Roman"/>
                      <w:lang w:eastAsia="ko-KR"/>
                    </w:rPr>
                    <w:t>1&gt;</w:t>
                  </w:r>
                  <w:r>
                    <w:rPr>
                      <w:rFonts w:ascii="Times New Roman" w:eastAsia="Malgun Gothic" w:hAnsi="Times New Roman"/>
                      <w:lang w:eastAsia="ko-KR"/>
                    </w:rPr>
                    <w:tab/>
                    <w:t>if the PUSCH duration of the configured uplink grant does not overlap with the PUSCH duration of an uplink grant received on the PDCCH for this Serving Cell:</w:t>
                  </w:r>
                </w:p>
                <w:p w:rsidR="001F2E4A" w:rsidRDefault="00852442">
                  <w:pPr>
                    <w:overflowPunct/>
                    <w:autoSpaceDE/>
                    <w:autoSpaceDN/>
                    <w:adjustRightInd/>
                    <w:ind w:left="851" w:hanging="284"/>
                    <w:jc w:val="left"/>
                    <w:textAlignment w:val="auto"/>
                    <w:rPr>
                      <w:rFonts w:ascii="Times New Roman" w:eastAsia="Malgun Gothic" w:hAnsi="Times New Roman"/>
                      <w:lang w:eastAsia="ko-KR"/>
                    </w:rPr>
                  </w:pPr>
                  <w:r>
                    <w:rPr>
                      <w:rFonts w:ascii="Times New Roman" w:eastAsia="Malgun Gothic" w:hAnsi="Times New Roman"/>
                      <w:lang w:eastAsia="ko-KR"/>
                    </w:rPr>
                    <w:t>2&gt;</w:t>
                  </w:r>
                  <w:r>
                    <w:rPr>
                      <w:rFonts w:ascii="Times New Roman" w:eastAsia="Malgun Gothic" w:hAnsi="Times New Roman"/>
                      <w:lang w:eastAsia="ko-KR"/>
                    </w:rPr>
                    <w:tab/>
                    <w:t>set the HARQ Process ID to the HARQ Process ID associated with this PUSCH duration;</w:t>
                  </w:r>
                </w:p>
                <w:p w:rsidR="001F2E4A" w:rsidRDefault="00852442">
                  <w:pPr>
                    <w:overflowPunct/>
                    <w:autoSpaceDE/>
                    <w:autoSpaceDN/>
                    <w:adjustRightInd/>
                    <w:ind w:left="851" w:hanging="284"/>
                    <w:jc w:val="left"/>
                    <w:textAlignment w:val="auto"/>
                    <w:rPr>
                      <w:rFonts w:ascii="Times New Roman" w:eastAsia="Malgun Gothic" w:hAnsi="Times New Roman"/>
                      <w:lang w:eastAsia="ko-KR"/>
                    </w:rPr>
                  </w:pPr>
                  <w:r>
                    <w:rPr>
                      <w:rFonts w:ascii="Times New Roman" w:eastAsia="Malgun Gothic" w:hAnsi="Times New Roman"/>
                      <w:lang w:eastAsia="ko-KR"/>
                    </w:rPr>
                    <w:t>2&gt;</w:t>
                  </w:r>
                  <w:r>
                    <w:rPr>
                      <w:rFonts w:ascii="Times New Roman" w:eastAsia="Malgun Gothic" w:hAnsi="Times New Roman"/>
                      <w:lang w:eastAsia="ko-KR"/>
                    </w:rPr>
                    <w:tab/>
                  </w:r>
                  <w:r>
                    <w:rPr>
                      <w:rFonts w:ascii="Times New Roman" w:eastAsia="Malgun Gothic" w:hAnsi="Times New Roman"/>
                      <w:highlight w:val="yellow"/>
                      <w:lang w:eastAsia="ko-KR"/>
                    </w:rPr>
                    <w:t xml:space="preserve">if the </w:t>
                  </w:r>
                  <w:r>
                    <w:rPr>
                      <w:rFonts w:ascii="Times New Roman" w:eastAsia="Malgun Gothic" w:hAnsi="Times New Roman"/>
                      <w:i/>
                      <w:highlight w:val="yellow"/>
                      <w:lang w:eastAsia="ko-KR"/>
                    </w:rPr>
                    <w:t>configuredGrantTimer</w:t>
                  </w:r>
                  <w:r>
                    <w:rPr>
                      <w:rFonts w:ascii="Times New Roman" w:eastAsia="Malgun Gothic" w:hAnsi="Times New Roman"/>
                      <w:highlight w:val="yellow"/>
                      <w:lang w:eastAsia="ko-KR"/>
                    </w:rPr>
                    <w:t xml:space="preserve"> for the corresponding HARQ process is not running</w:t>
                  </w:r>
                  <w:r>
                    <w:rPr>
                      <w:rFonts w:ascii="Times New Roman" w:eastAsia="Malgun Gothic" w:hAnsi="Times New Roman"/>
                      <w:lang w:eastAsia="ko-KR"/>
                    </w:rPr>
                    <w:t>:</w:t>
                  </w:r>
                </w:p>
                <w:p w:rsidR="001F2E4A" w:rsidRDefault="00852442">
                  <w:pPr>
                    <w:overflowPunct/>
                    <w:autoSpaceDE/>
                    <w:autoSpaceDN/>
                    <w:adjustRightInd/>
                    <w:ind w:left="1135" w:hanging="284"/>
                    <w:jc w:val="left"/>
                    <w:textAlignment w:val="auto"/>
                    <w:rPr>
                      <w:rFonts w:ascii="Times New Roman" w:eastAsia="Malgun Gothic" w:hAnsi="Times New Roman"/>
                      <w:lang w:eastAsia="ko-KR"/>
                    </w:rPr>
                  </w:pPr>
                  <w:r>
                    <w:rPr>
                      <w:rFonts w:ascii="Times New Roman" w:eastAsia="Malgun Gothic" w:hAnsi="Times New Roman"/>
                      <w:lang w:eastAsia="ko-KR"/>
                    </w:rPr>
                    <w:t>3&gt;</w:t>
                  </w:r>
                  <w:r>
                    <w:rPr>
                      <w:rFonts w:ascii="Times New Roman" w:eastAsia="Malgun Gothic" w:hAnsi="Times New Roman"/>
                      <w:lang w:eastAsia="ko-KR"/>
                    </w:rPr>
                    <w:tab/>
                    <w:t>consider the NDI bit for the corresponding HARQ process to have been toggled;</w:t>
                  </w:r>
                </w:p>
                <w:p w:rsidR="001F2E4A" w:rsidRDefault="00852442">
                  <w:pPr>
                    <w:overflowPunct/>
                    <w:autoSpaceDE/>
                    <w:autoSpaceDN/>
                    <w:adjustRightInd/>
                    <w:ind w:left="1135" w:hanging="284"/>
                    <w:jc w:val="left"/>
                    <w:textAlignment w:val="auto"/>
                    <w:rPr>
                      <w:rFonts w:ascii="Times New Roman" w:eastAsia="Malgun Gothic" w:hAnsi="Times New Roman"/>
                      <w:lang w:eastAsia="ko-KR"/>
                    </w:rPr>
                  </w:pPr>
                  <w:r>
                    <w:rPr>
                      <w:rFonts w:ascii="Times New Roman" w:eastAsia="Malgun Gothic" w:hAnsi="Times New Roman"/>
                      <w:lang w:eastAsia="ko-KR"/>
                    </w:rPr>
                    <w:t>3&gt;</w:t>
                  </w:r>
                  <w:r>
                    <w:rPr>
                      <w:rFonts w:ascii="Times New Roman" w:eastAsia="Malgun Gothic" w:hAnsi="Times New Roman"/>
                      <w:lang w:eastAsia="ko-KR"/>
                    </w:rPr>
                    <w:tab/>
                  </w:r>
                  <w:r>
                    <w:rPr>
                      <w:rFonts w:ascii="Times New Roman" w:eastAsia="Malgun Gothic" w:hAnsi="Times New Roman"/>
                      <w:highlight w:val="yellow"/>
                      <w:lang w:eastAsia="ko-KR"/>
                    </w:rPr>
                    <w:t>deliver the configured uplink grant and the associated HARQ information to the HARQ entity</w:t>
                  </w:r>
                  <w:r>
                    <w:rPr>
                      <w:rFonts w:ascii="Times New Roman" w:eastAsia="Malgun Gothic" w:hAnsi="Times New Roman"/>
                      <w:lang w:eastAsia="ko-KR"/>
                    </w:rPr>
                    <w:t>.</w:t>
                  </w:r>
                </w:p>
                <w:p w:rsidR="001F2E4A" w:rsidRDefault="001F2E4A"/>
              </w:txbxContent>
            </v:textbox>
            <w10:wrap type="square"/>
          </v:shape>
        </w:pict>
      </w:r>
      <w:r w:rsidR="00852442">
        <w:t xml:space="preserve">The UE behaviour when the </w:t>
      </w:r>
      <w:r w:rsidR="00852442">
        <w:rPr>
          <w:i/>
        </w:rPr>
        <w:t>configuredGrantTimer</w:t>
      </w:r>
      <w:r w:rsidR="00852442">
        <w:t xml:space="preserve"> is running is defined as highlighted in the text excerpt from 38.321 below:</w:t>
      </w:r>
    </w:p>
    <w:p w:rsidR="001F2E4A" w:rsidRDefault="00852442">
      <w:r>
        <w:t xml:space="preserve">The </w:t>
      </w:r>
      <w:r>
        <w:rPr>
          <w:i/>
        </w:rPr>
        <w:t>configuredGrantTimer</w:t>
      </w:r>
      <w:r>
        <w:t xml:space="preserve"> is started when an UL transmission takes place on a HARQ process configured for a configured uplink grant. It was agreed during this meeting that the </w:t>
      </w:r>
      <w:r>
        <w:rPr>
          <w:i/>
        </w:rPr>
        <w:t>configuredGrantTimer</w:t>
      </w:r>
      <w:r>
        <w:t xml:space="preserve"> duration is defined in multiples of the configured grant periodicity. As the configured grant configuration can be different on different BWPs, it is unclear if the timer is still expected to be running when a BWP switch takes place as illustrated below.</w:t>
      </w:r>
    </w:p>
    <w:p w:rsidR="001F2E4A" w:rsidRDefault="00852442">
      <w:pPr>
        <w:jc w:val="center"/>
      </w:pPr>
      <w:r>
        <w:rPr>
          <w:noProof/>
          <w:lang w:eastAsia="en-GB"/>
        </w:rPr>
        <w:drawing>
          <wp:inline distT="0" distB="0" distL="0" distR="0">
            <wp:extent cx="5182235" cy="319468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8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82235" cy="3194685"/>
                    </a:xfrm>
                    <a:prstGeom prst="rect">
                      <a:avLst/>
                    </a:prstGeom>
                    <a:noFill/>
                  </pic:spPr>
                </pic:pic>
              </a:graphicData>
            </a:graphic>
          </wp:inline>
        </w:drawing>
      </w:r>
    </w:p>
    <w:p w:rsidR="001F2E4A" w:rsidRDefault="00852442">
      <w:pPr>
        <w:rPr>
          <w:b/>
        </w:rPr>
      </w:pPr>
      <w:r>
        <w:rPr>
          <w:b/>
        </w:rPr>
        <w:t xml:space="preserve">Q2: If the </w:t>
      </w:r>
      <w:r>
        <w:rPr>
          <w:b/>
          <w:i/>
        </w:rPr>
        <w:t>configuredGrantTimer</w:t>
      </w:r>
      <w:r>
        <w:rPr>
          <w:b/>
        </w:rPr>
        <w:t xml:space="preserve"> was started prior to a BWP switch, what is the expected timer behaviour after the BWP switch?</w:t>
      </w:r>
    </w:p>
    <w:p w:rsidR="001F2E4A" w:rsidRDefault="00852442">
      <w:pPr>
        <w:ind w:left="720"/>
        <w:rPr>
          <w:b/>
        </w:rPr>
      </w:pPr>
      <w:r>
        <w:rPr>
          <w:b/>
        </w:rPr>
        <w:t>Option 1: The timer is stopped and does not run on the new BWP</w:t>
      </w:r>
    </w:p>
    <w:p w:rsidR="001F2E4A" w:rsidRDefault="00852442">
      <w:pPr>
        <w:ind w:left="720"/>
        <w:rPr>
          <w:b/>
        </w:rPr>
      </w:pPr>
      <w:r>
        <w:rPr>
          <w:b/>
        </w:rPr>
        <w:t>Option 2: Restart the timer on the new BWP</w:t>
      </w:r>
    </w:p>
    <w:p w:rsidR="001F2E4A" w:rsidRDefault="00852442">
      <w:pPr>
        <w:ind w:left="720"/>
        <w:rPr>
          <w:b/>
        </w:rPr>
      </w:pPr>
      <w:r>
        <w:rPr>
          <w:b/>
        </w:rPr>
        <w:t>Option 3: The timer continues to run on the new BWP using the duration from the configured grant configuration on the new BWP</w:t>
      </w:r>
    </w:p>
    <w:p w:rsidR="001F2E4A" w:rsidRDefault="00852442">
      <w:pPr>
        <w:ind w:left="720"/>
        <w:rPr>
          <w:b/>
        </w:rPr>
      </w:pPr>
      <w:r>
        <w:rPr>
          <w:b/>
        </w:rPr>
        <w:t>Option 4: The timer continues to run on the new BWP using the duration from the configured grant configuration on the old BWP</w:t>
      </w:r>
    </w:p>
    <w:p w:rsidR="001F2E4A" w:rsidRDefault="00852442">
      <w:pPr>
        <w:ind w:left="720"/>
        <w:rPr>
          <w:b/>
        </w:rPr>
      </w:pPr>
      <w:r>
        <w:rPr>
          <w:b/>
        </w:rPr>
        <w:t>Option 5: Alternative solution (please provide details)</w:t>
      </w:r>
    </w:p>
    <w:p w:rsidR="001F2E4A" w:rsidRDefault="001F2E4A">
      <w:pPr>
        <w:rPr>
          <w:b/>
        </w:rPr>
      </w:pPr>
    </w:p>
    <w:tbl>
      <w:tblPr>
        <w:tblStyle w:val="TableGrid"/>
        <w:tblW w:w="10485" w:type="dxa"/>
        <w:tblLayout w:type="fixed"/>
        <w:tblLook w:val="04A0" w:firstRow="1" w:lastRow="0" w:firstColumn="1" w:lastColumn="0" w:noHBand="0" w:noVBand="1"/>
      </w:tblPr>
      <w:tblGrid>
        <w:gridCol w:w="1184"/>
        <w:gridCol w:w="1306"/>
        <w:gridCol w:w="7995"/>
      </w:tblGrid>
      <w:tr w:rsidR="001F2E4A">
        <w:tc>
          <w:tcPr>
            <w:tcW w:w="1184" w:type="dxa"/>
            <w:shd w:val="clear" w:color="auto" w:fill="E7E6E6" w:themeFill="background2"/>
          </w:tcPr>
          <w:p w:rsidR="001F2E4A" w:rsidRDefault="00852442">
            <w:pPr>
              <w:rPr>
                <w:b/>
                <w:i/>
              </w:rPr>
            </w:pPr>
            <w:r>
              <w:rPr>
                <w:b/>
                <w:i/>
              </w:rPr>
              <w:t>Company</w:t>
            </w:r>
          </w:p>
        </w:tc>
        <w:tc>
          <w:tcPr>
            <w:tcW w:w="1306" w:type="dxa"/>
            <w:shd w:val="clear" w:color="auto" w:fill="E7E6E6" w:themeFill="background2"/>
          </w:tcPr>
          <w:p w:rsidR="001F2E4A" w:rsidRDefault="00373BD8">
            <w:pPr>
              <w:rPr>
                <w:b/>
                <w:i/>
              </w:rPr>
            </w:pPr>
            <w:r>
              <w:rPr>
                <w:b/>
                <w:i/>
              </w:rPr>
              <w:t>Preference</w:t>
            </w:r>
          </w:p>
        </w:tc>
        <w:tc>
          <w:tcPr>
            <w:tcW w:w="7995" w:type="dxa"/>
            <w:shd w:val="clear" w:color="auto" w:fill="E7E6E6" w:themeFill="background2"/>
          </w:tcPr>
          <w:p w:rsidR="001F2E4A" w:rsidRDefault="00852442">
            <w:pPr>
              <w:rPr>
                <w:b/>
                <w:i/>
              </w:rPr>
            </w:pPr>
            <w:r>
              <w:rPr>
                <w:b/>
                <w:i/>
              </w:rPr>
              <w:t>Comments</w:t>
            </w:r>
          </w:p>
        </w:tc>
      </w:tr>
      <w:tr w:rsidR="001F2E4A">
        <w:tc>
          <w:tcPr>
            <w:tcW w:w="1184" w:type="dxa"/>
          </w:tcPr>
          <w:p w:rsidR="001F2E4A" w:rsidRDefault="00852442">
            <w:r>
              <w:t>Huawei</w:t>
            </w:r>
          </w:p>
        </w:tc>
        <w:tc>
          <w:tcPr>
            <w:tcW w:w="1306" w:type="dxa"/>
          </w:tcPr>
          <w:p w:rsidR="001F2E4A" w:rsidRDefault="00852442">
            <w:r>
              <w:t>Option 1</w:t>
            </w:r>
          </w:p>
          <w:p w:rsidR="001F2E4A" w:rsidRDefault="00852442">
            <w:r>
              <w:t>(Preference should be indicated, not Yes/No?)</w:t>
            </w:r>
          </w:p>
        </w:tc>
        <w:tc>
          <w:tcPr>
            <w:tcW w:w="7995" w:type="dxa"/>
          </w:tcPr>
          <w:p w:rsidR="001F2E4A" w:rsidRDefault="00852442">
            <w:r>
              <w:t>We prefer Option 1,if the timer is not stopped, the UE may not be able to start using the configured grant on the activated (new) BWP immediately because it has to wait for the timer expiry started on the deactivated (old) BWP. But if we specify the UE behaviour for this timer when BWP switch, we may have to review other timers case by case, e.g. retransmission timer.</w:t>
            </w:r>
          </w:p>
        </w:tc>
      </w:tr>
      <w:tr w:rsidR="001F2E4A">
        <w:tc>
          <w:tcPr>
            <w:tcW w:w="1184" w:type="dxa"/>
          </w:tcPr>
          <w:p w:rsidR="001F2E4A" w:rsidRDefault="00852442">
            <w:r>
              <w:rPr>
                <w:rFonts w:hint="eastAsia"/>
                <w:lang w:eastAsia="zh-CN"/>
              </w:rPr>
              <w:t>OPPO</w:t>
            </w:r>
          </w:p>
        </w:tc>
        <w:tc>
          <w:tcPr>
            <w:tcW w:w="1306" w:type="dxa"/>
          </w:tcPr>
          <w:p w:rsidR="001F2E4A" w:rsidRDefault="00852442">
            <w:r>
              <w:rPr>
                <w:rFonts w:hint="eastAsia"/>
                <w:lang w:eastAsia="zh-CN"/>
              </w:rPr>
              <w:t>Option 4</w:t>
            </w:r>
          </w:p>
        </w:tc>
        <w:tc>
          <w:tcPr>
            <w:tcW w:w="7995" w:type="dxa"/>
          </w:tcPr>
          <w:p w:rsidR="001F2E4A" w:rsidRPr="000F0DC8" w:rsidRDefault="00852442">
            <w:pPr>
              <w:rPr>
                <w:lang w:eastAsia="zh-CN"/>
              </w:rPr>
            </w:pPr>
            <w:r>
              <w:rPr>
                <w:lang w:eastAsia="zh-CN"/>
              </w:rPr>
              <w:t>I</w:t>
            </w:r>
            <w:r>
              <w:rPr>
                <w:rFonts w:hint="eastAsia"/>
                <w:lang w:eastAsia="zh-CN"/>
              </w:rPr>
              <w:t>f timer is stopped, the data in the harq process will be overrode immediately upon BWP switching when the first configured grant has the same HARQ process ID</w:t>
            </w:r>
          </w:p>
        </w:tc>
      </w:tr>
      <w:tr w:rsidR="001F2E4A">
        <w:tc>
          <w:tcPr>
            <w:tcW w:w="1184" w:type="dxa"/>
          </w:tcPr>
          <w:p w:rsidR="001F2E4A" w:rsidRDefault="00852442">
            <w:pPr>
              <w:rPr>
                <w:lang w:eastAsia="zh-CN"/>
              </w:rPr>
            </w:pPr>
            <w:r>
              <w:rPr>
                <w:rFonts w:hint="eastAsia"/>
                <w:lang w:eastAsia="ko-KR"/>
              </w:rPr>
              <w:t>LG</w:t>
            </w:r>
          </w:p>
        </w:tc>
        <w:tc>
          <w:tcPr>
            <w:tcW w:w="1306" w:type="dxa"/>
          </w:tcPr>
          <w:p w:rsidR="001F2E4A" w:rsidRDefault="00852442">
            <w:pPr>
              <w:rPr>
                <w:lang w:eastAsia="zh-CN"/>
              </w:rPr>
            </w:pPr>
            <w:r>
              <w:t>Option 4</w:t>
            </w:r>
          </w:p>
        </w:tc>
        <w:tc>
          <w:tcPr>
            <w:tcW w:w="7995" w:type="dxa"/>
          </w:tcPr>
          <w:p w:rsidR="001F2E4A" w:rsidRDefault="00852442">
            <w:pPr>
              <w:rPr>
                <w:lang w:eastAsia="ko-KR"/>
              </w:rPr>
            </w:pPr>
            <w:r>
              <w:rPr>
                <w:i/>
                <w:lang w:eastAsia="ko-KR"/>
              </w:rPr>
              <w:t xml:space="preserve">configuredGrantTimer </w:t>
            </w:r>
            <w:r>
              <w:rPr>
                <w:lang w:eastAsia="ko-KR"/>
              </w:rPr>
              <w:t>is mainly to wait for retransmission grant, and hence, it is not reasonable to just stop the timer when BWP switches. Thus, Option 1 should be excluded.</w:t>
            </w:r>
          </w:p>
          <w:p w:rsidR="001F2E4A" w:rsidRDefault="00852442">
            <w:pPr>
              <w:rPr>
                <w:lang w:eastAsia="zh-CN"/>
              </w:rPr>
            </w:pPr>
            <w:r>
              <w:rPr>
                <w:lang w:eastAsia="ko-KR"/>
              </w:rPr>
              <w:t>When BWP switches, the timer value may change but it can be similar to the timer handling upon reconfiguration of a timer, i.e., the timer continues running, and starts with a new value after expiry.</w:t>
            </w:r>
          </w:p>
        </w:tc>
      </w:tr>
      <w:tr w:rsidR="00BF119E">
        <w:tc>
          <w:tcPr>
            <w:tcW w:w="1184" w:type="dxa"/>
          </w:tcPr>
          <w:p w:rsidR="00BF119E" w:rsidRDefault="00BF119E" w:rsidP="002837D4">
            <w:pPr>
              <w:rPr>
                <w:lang w:eastAsia="zh-CN"/>
              </w:rPr>
            </w:pPr>
            <w:r>
              <w:rPr>
                <w:lang w:eastAsia="zh-CN"/>
              </w:rPr>
              <w:t>MTK</w:t>
            </w:r>
          </w:p>
        </w:tc>
        <w:tc>
          <w:tcPr>
            <w:tcW w:w="1306" w:type="dxa"/>
          </w:tcPr>
          <w:p w:rsidR="00BF119E" w:rsidRDefault="00BF119E" w:rsidP="002837D4">
            <w:pPr>
              <w:rPr>
                <w:lang w:eastAsia="zh-CN"/>
              </w:rPr>
            </w:pPr>
            <w:r>
              <w:rPr>
                <w:lang w:eastAsia="zh-CN"/>
              </w:rPr>
              <w:t>Option 1</w:t>
            </w:r>
          </w:p>
        </w:tc>
        <w:tc>
          <w:tcPr>
            <w:tcW w:w="7995" w:type="dxa"/>
          </w:tcPr>
          <w:p w:rsidR="00BF119E" w:rsidRDefault="00BF119E" w:rsidP="002837D4">
            <w:pPr>
              <w:rPr>
                <w:lang w:eastAsia="zh-CN"/>
              </w:rPr>
            </w:pPr>
            <w:r>
              <w:rPr>
                <w:lang w:eastAsia="zh-CN"/>
              </w:rPr>
              <w:t>Agree with Huawei above to stop the timer. (Also, title of column 2 changed to ‘Preference’)</w:t>
            </w:r>
          </w:p>
        </w:tc>
      </w:tr>
      <w:tr w:rsidR="00BF119E">
        <w:tc>
          <w:tcPr>
            <w:tcW w:w="1184" w:type="dxa"/>
          </w:tcPr>
          <w:p w:rsidR="00BF119E" w:rsidRDefault="00BF119E">
            <w:pPr>
              <w:rPr>
                <w:lang w:eastAsia="zh-CN"/>
              </w:rPr>
            </w:pPr>
            <w:r>
              <w:t>InterDigital</w:t>
            </w:r>
          </w:p>
        </w:tc>
        <w:tc>
          <w:tcPr>
            <w:tcW w:w="1306" w:type="dxa"/>
          </w:tcPr>
          <w:p w:rsidR="00BF119E" w:rsidRDefault="00BF119E">
            <w:pPr>
              <w:rPr>
                <w:lang w:eastAsia="zh-CN"/>
              </w:rPr>
            </w:pPr>
            <w:r>
              <w:t>Option 4</w:t>
            </w:r>
          </w:p>
        </w:tc>
        <w:tc>
          <w:tcPr>
            <w:tcW w:w="7995" w:type="dxa"/>
          </w:tcPr>
          <w:p w:rsidR="00BF119E" w:rsidRDefault="00BF119E">
            <w:pPr>
              <w:rPr>
                <w:lang w:eastAsia="zh-CN"/>
              </w:rPr>
            </w:pPr>
            <w:r>
              <w:t>In a proper network configuration, the occasions of the configured grant should continue with the same periodicity (in absolute value) after the BWP switch. Thus there would be no reason to affect the operation of the configured grant timer.</w:t>
            </w:r>
          </w:p>
        </w:tc>
      </w:tr>
      <w:tr w:rsidR="00BF119E">
        <w:tc>
          <w:tcPr>
            <w:tcW w:w="1184" w:type="dxa"/>
          </w:tcPr>
          <w:p w:rsidR="00BF119E" w:rsidRDefault="00BF119E">
            <w:r>
              <w:rPr>
                <w:lang w:eastAsia="zh-CN"/>
              </w:rPr>
              <w:t>vivo</w:t>
            </w:r>
          </w:p>
        </w:tc>
        <w:tc>
          <w:tcPr>
            <w:tcW w:w="1306" w:type="dxa"/>
          </w:tcPr>
          <w:p w:rsidR="00BF119E" w:rsidRDefault="00BF119E">
            <w:r>
              <w:rPr>
                <w:lang w:eastAsia="zh-CN"/>
              </w:rPr>
              <w:t>Option 4</w:t>
            </w:r>
          </w:p>
        </w:tc>
        <w:tc>
          <w:tcPr>
            <w:tcW w:w="7995" w:type="dxa"/>
          </w:tcPr>
          <w:p w:rsidR="00BF119E" w:rsidRDefault="00BF119E">
            <w:r>
              <w:rPr>
                <w:lang w:eastAsia="zh-CN"/>
              </w:rPr>
              <w:t>According to our reply for Q1, it seems possible that the UE may continue the repetition in the new BWP. Maybe it is ok to keep the timer running.</w:t>
            </w:r>
          </w:p>
        </w:tc>
      </w:tr>
      <w:tr w:rsidR="00BF119E">
        <w:tc>
          <w:tcPr>
            <w:tcW w:w="1184" w:type="dxa"/>
          </w:tcPr>
          <w:p w:rsidR="00BF119E" w:rsidRDefault="00BF119E">
            <w:pPr>
              <w:rPr>
                <w:lang w:val="en-US" w:eastAsia="zh-CN"/>
              </w:rPr>
            </w:pPr>
            <w:r>
              <w:rPr>
                <w:rFonts w:hint="eastAsia"/>
                <w:lang w:val="en-US" w:eastAsia="zh-CN"/>
              </w:rPr>
              <w:t>ZTE</w:t>
            </w:r>
          </w:p>
        </w:tc>
        <w:tc>
          <w:tcPr>
            <w:tcW w:w="1306" w:type="dxa"/>
          </w:tcPr>
          <w:p w:rsidR="00BF119E" w:rsidRDefault="00BF119E">
            <w:pPr>
              <w:rPr>
                <w:lang w:val="en-US" w:eastAsia="zh-CN"/>
              </w:rPr>
            </w:pPr>
            <w:r>
              <w:rPr>
                <w:rFonts w:hint="eastAsia"/>
                <w:lang w:val="en-US" w:eastAsia="zh-CN"/>
              </w:rPr>
              <w:t>Option 1</w:t>
            </w:r>
          </w:p>
        </w:tc>
        <w:tc>
          <w:tcPr>
            <w:tcW w:w="7995" w:type="dxa"/>
          </w:tcPr>
          <w:p w:rsidR="00BF119E" w:rsidRDefault="00BF119E">
            <w:pPr>
              <w:rPr>
                <w:rFonts w:eastAsia="SimSun"/>
                <w:lang w:val="en-US" w:eastAsia="zh-CN"/>
              </w:rPr>
            </w:pPr>
            <w:r>
              <w:rPr>
                <w:rFonts w:eastAsia="SimSun" w:hint="eastAsia"/>
                <w:lang w:val="en-US" w:eastAsia="zh-CN"/>
              </w:rPr>
              <w:t>For configured grant type 2, since the UL BWP switch is controlled by NW, thus NW should deactivate the current SPS transmission first, and then transmit the DCI for   BWP switch.</w:t>
            </w:r>
          </w:p>
          <w:p w:rsidR="00BF119E" w:rsidRDefault="00BF119E">
            <w:pPr>
              <w:rPr>
                <w:rFonts w:eastAsia="SimSun"/>
                <w:lang w:val="en-US" w:eastAsia="zh-CN"/>
              </w:rPr>
            </w:pPr>
            <w:r>
              <w:rPr>
                <w:rFonts w:eastAsia="SimSun" w:hint="eastAsia"/>
                <w:lang w:val="en-US" w:eastAsia="zh-CN"/>
              </w:rPr>
              <w:t>For grant-free transmission, the corresponding Process ID buffer won</w:t>
            </w:r>
            <w:r>
              <w:rPr>
                <w:rFonts w:eastAsia="SimSun"/>
                <w:lang w:val="en-US" w:eastAsia="zh-CN"/>
              </w:rPr>
              <w:t>’</w:t>
            </w:r>
            <w:r>
              <w:rPr>
                <w:rFonts w:eastAsia="SimSun" w:hint="eastAsia"/>
                <w:lang w:val="en-US" w:eastAsia="zh-CN"/>
              </w:rPr>
              <w:t>t be flushed during the BWP switch, thus UE still can perform re-transmission when receives the DCI from gNB</w:t>
            </w:r>
          </w:p>
          <w:p w:rsidR="00BF119E" w:rsidRDefault="00BF119E">
            <w:pPr>
              <w:rPr>
                <w:lang w:eastAsia="zh-CN"/>
              </w:rPr>
            </w:pPr>
            <w:r>
              <w:rPr>
                <w:rFonts w:eastAsia="SimSun" w:hint="eastAsia"/>
                <w:lang w:val="en-US" w:eastAsia="zh-CN"/>
              </w:rPr>
              <w:t>Thus we propose that the timer is stopped and does not run on the new BWP.</w:t>
            </w:r>
          </w:p>
        </w:tc>
      </w:tr>
      <w:tr w:rsidR="00013260">
        <w:tc>
          <w:tcPr>
            <w:tcW w:w="1184" w:type="dxa"/>
          </w:tcPr>
          <w:p w:rsidR="00013260" w:rsidRDefault="00013260">
            <w:pPr>
              <w:rPr>
                <w:lang w:val="en-US" w:eastAsia="zh-CN"/>
              </w:rPr>
            </w:pPr>
            <w:r>
              <w:rPr>
                <w:rFonts w:hint="eastAsia"/>
                <w:lang w:val="en-US" w:eastAsia="zh-CN"/>
              </w:rPr>
              <w:t>CATT</w:t>
            </w:r>
          </w:p>
        </w:tc>
        <w:tc>
          <w:tcPr>
            <w:tcW w:w="1306" w:type="dxa"/>
          </w:tcPr>
          <w:p w:rsidR="00013260" w:rsidRDefault="00013260">
            <w:pPr>
              <w:rPr>
                <w:lang w:val="en-US" w:eastAsia="zh-CN"/>
              </w:rPr>
            </w:pPr>
            <w:r>
              <w:rPr>
                <w:lang w:val="en-US" w:eastAsia="zh-CN"/>
              </w:rPr>
              <w:t>O</w:t>
            </w:r>
            <w:r>
              <w:rPr>
                <w:rFonts w:hint="eastAsia"/>
                <w:lang w:val="en-US" w:eastAsia="zh-CN"/>
              </w:rPr>
              <w:t xml:space="preserve">ption </w:t>
            </w:r>
            <w:r w:rsidR="004579B2">
              <w:rPr>
                <w:rFonts w:hint="eastAsia"/>
                <w:lang w:val="en-US" w:eastAsia="zh-CN"/>
              </w:rPr>
              <w:t>4</w:t>
            </w:r>
          </w:p>
        </w:tc>
        <w:tc>
          <w:tcPr>
            <w:tcW w:w="7995" w:type="dxa"/>
          </w:tcPr>
          <w:p w:rsidR="00013260" w:rsidRDefault="004109AF" w:rsidP="004109AF">
            <w:pPr>
              <w:rPr>
                <w:rFonts w:eastAsia="SimSun"/>
                <w:lang w:val="en-US" w:eastAsia="zh-CN"/>
              </w:rPr>
            </w:pPr>
            <w:r>
              <w:rPr>
                <w:rFonts w:eastAsia="SimSun" w:hint="eastAsia"/>
                <w:lang w:val="en-US" w:eastAsia="zh-CN"/>
              </w:rPr>
              <w:t>Since we think the case should be controlled by NW, it is no need to do anything on the new BWP</w:t>
            </w:r>
            <w:r w:rsidR="004579B2">
              <w:rPr>
                <w:rFonts w:eastAsia="SimSun" w:hint="eastAsia"/>
                <w:lang w:val="en-US" w:eastAsia="zh-CN"/>
              </w:rPr>
              <w:t>. With option 4, we don</w:t>
            </w:r>
            <w:r w:rsidR="004579B2">
              <w:rPr>
                <w:rFonts w:eastAsia="SimSun"/>
                <w:lang w:val="en-US" w:eastAsia="zh-CN"/>
              </w:rPr>
              <w:t>’</w:t>
            </w:r>
            <w:r w:rsidR="004579B2">
              <w:rPr>
                <w:rFonts w:eastAsia="SimSun" w:hint="eastAsia"/>
                <w:lang w:val="en-US" w:eastAsia="zh-CN"/>
              </w:rPr>
              <w:t>t need to specify anything.</w:t>
            </w:r>
          </w:p>
        </w:tc>
      </w:tr>
      <w:tr w:rsidR="00373BD8">
        <w:tc>
          <w:tcPr>
            <w:tcW w:w="1184" w:type="dxa"/>
          </w:tcPr>
          <w:p w:rsidR="00373BD8" w:rsidRDefault="00373BD8" w:rsidP="00373BD8">
            <w:r>
              <w:t>Samsung</w:t>
            </w:r>
          </w:p>
        </w:tc>
        <w:tc>
          <w:tcPr>
            <w:tcW w:w="1306" w:type="dxa"/>
          </w:tcPr>
          <w:p w:rsidR="00373BD8" w:rsidRDefault="00373BD8" w:rsidP="00373BD8">
            <w:r>
              <w:t>Option 4</w:t>
            </w:r>
          </w:p>
        </w:tc>
        <w:tc>
          <w:tcPr>
            <w:tcW w:w="7995" w:type="dxa"/>
          </w:tcPr>
          <w:p w:rsidR="00373BD8" w:rsidRDefault="00373BD8" w:rsidP="00373BD8">
            <w:r>
              <w:t>Since HARQ operation continues the timer operation should continue. The duration itself is a minor optimisation – optimal duration of the timer is chiefly determined (for latency-critical traffic) by the processing time at gNB rather than the numerology of the BWP, and so the main contributing factor does not change so we should stick with the originally configured timer value in absolute terms.</w:t>
            </w:r>
          </w:p>
        </w:tc>
      </w:tr>
      <w:tr w:rsidR="0000060F">
        <w:tc>
          <w:tcPr>
            <w:tcW w:w="1184" w:type="dxa"/>
          </w:tcPr>
          <w:p w:rsidR="0000060F" w:rsidRDefault="0000060F" w:rsidP="0000060F">
            <w:pPr>
              <w:rPr>
                <w:lang w:val="en-US" w:eastAsia="zh-CN"/>
              </w:rPr>
            </w:pPr>
            <w:r>
              <w:rPr>
                <w:lang w:val="en-US" w:eastAsia="zh-CN"/>
              </w:rPr>
              <w:t>Qualcomm</w:t>
            </w:r>
          </w:p>
        </w:tc>
        <w:tc>
          <w:tcPr>
            <w:tcW w:w="1306" w:type="dxa"/>
          </w:tcPr>
          <w:p w:rsidR="0000060F" w:rsidRDefault="0000060F" w:rsidP="0000060F">
            <w:pPr>
              <w:rPr>
                <w:lang w:val="en-US" w:eastAsia="zh-CN"/>
              </w:rPr>
            </w:pPr>
            <w:r>
              <w:rPr>
                <w:lang w:val="en-US" w:eastAsia="zh-CN"/>
              </w:rPr>
              <w:t>Option 4</w:t>
            </w:r>
          </w:p>
        </w:tc>
        <w:tc>
          <w:tcPr>
            <w:tcW w:w="7995" w:type="dxa"/>
          </w:tcPr>
          <w:p w:rsidR="0000060F" w:rsidRDefault="0000060F" w:rsidP="0000060F">
            <w:pPr>
              <w:rPr>
                <w:rFonts w:eastAsia="SimSun"/>
                <w:lang w:val="en-US" w:eastAsia="zh-CN"/>
              </w:rPr>
            </w:pPr>
            <w:r>
              <w:rPr>
                <w:rFonts w:eastAsia="SimSun"/>
                <w:lang w:val="en-US" w:eastAsia="zh-CN"/>
              </w:rPr>
              <w:t>We share the same view as Interdigital.</w:t>
            </w:r>
          </w:p>
        </w:tc>
      </w:tr>
    </w:tbl>
    <w:p w:rsidR="001F2E4A" w:rsidRDefault="001F2E4A"/>
    <w:p w:rsidR="005836BB" w:rsidRDefault="00D168A9">
      <w:r>
        <w:t>7</w:t>
      </w:r>
      <w:r w:rsidR="005836BB">
        <w:t xml:space="preserve"> out of </w:t>
      </w:r>
      <w:r>
        <w:t>10</w:t>
      </w:r>
      <w:bookmarkStart w:id="3" w:name="_GoBack"/>
      <w:bookmarkEnd w:id="3"/>
      <w:r w:rsidR="005836BB">
        <w:t xml:space="preserve"> companies preferred to let the timer continue to run with the original value from the old BWP, while 3 companies preferred to stop the timer. Based on this feedback, we propose that:</w:t>
      </w:r>
    </w:p>
    <w:p w:rsidR="005836BB" w:rsidRPr="005836BB" w:rsidRDefault="005836BB">
      <w:pPr>
        <w:rPr>
          <w:b/>
        </w:rPr>
      </w:pPr>
      <w:r w:rsidRPr="005836BB">
        <w:rPr>
          <w:b/>
        </w:rPr>
        <w:t xml:space="preserve">Proposal 2: The configured grant timer, once started, runs to completion with no change to its </w:t>
      </w:r>
      <w:r w:rsidR="002240E6">
        <w:rPr>
          <w:b/>
        </w:rPr>
        <w:t xml:space="preserve">original </w:t>
      </w:r>
      <w:r w:rsidRPr="005836BB">
        <w:rPr>
          <w:b/>
        </w:rPr>
        <w:t xml:space="preserve">duration if a BWP switch takes place. </w:t>
      </w:r>
    </w:p>
    <w:p w:rsidR="001F2E4A" w:rsidRDefault="00852442">
      <w:pPr>
        <w:pStyle w:val="Heading1"/>
      </w:pPr>
      <w:r>
        <w:t>3 Conclusion</w:t>
      </w:r>
    </w:p>
    <w:p w:rsidR="001F2E4A" w:rsidRDefault="00852442">
      <w:r>
        <w:t xml:space="preserve">In this contribution, we </w:t>
      </w:r>
      <w:r w:rsidR="00EA6A61">
        <w:t>propose that</w:t>
      </w:r>
      <w:r>
        <w:t>:</w:t>
      </w:r>
    </w:p>
    <w:p w:rsidR="00EA6A61" w:rsidRDefault="00EA6A61" w:rsidP="00EA6A61">
      <w:pPr>
        <w:rPr>
          <w:b/>
        </w:rPr>
      </w:pPr>
      <w:r w:rsidRPr="0045224D">
        <w:rPr>
          <w:b/>
        </w:rPr>
        <w:t xml:space="preserve">Proposal 1: </w:t>
      </w:r>
      <w:r>
        <w:rPr>
          <w:b/>
        </w:rPr>
        <w:t>If the active</w:t>
      </w:r>
      <w:r w:rsidRPr="0045224D">
        <w:rPr>
          <w:b/>
        </w:rPr>
        <w:t xml:space="preserve"> BWP </w:t>
      </w:r>
      <w:r>
        <w:rPr>
          <w:b/>
        </w:rPr>
        <w:t xml:space="preserve">is </w:t>
      </w:r>
      <w:r w:rsidRPr="0045224D">
        <w:rPr>
          <w:b/>
        </w:rPr>
        <w:t>switch</w:t>
      </w:r>
      <w:r>
        <w:rPr>
          <w:b/>
        </w:rPr>
        <w:t>ed</w:t>
      </w:r>
      <w:r w:rsidRPr="0045224D">
        <w:rPr>
          <w:b/>
        </w:rPr>
        <w:t xml:space="preserve"> when repetitions are ongoing</w:t>
      </w:r>
      <w:r>
        <w:rPr>
          <w:b/>
        </w:rPr>
        <w:t>, the UE behaviour</w:t>
      </w:r>
      <w:r w:rsidRPr="0045224D">
        <w:rPr>
          <w:b/>
        </w:rPr>
        <w:t xml:space="preserve"> is not specified.</w:t>
      </w:r>
    </w:p>
    <w:p w:rsidR="001F2E4A" w:rsidRPr="00240B2A" w:rsidRDefault="00EA6A61" w:rsidP="00240B2A">
      <w:pPr>
        <w:rPr>
          <w:b/>
        </w:rPr>
      </w:pPr>
      <w:r w:rsidRPr="005836BB">
        <w:rPr>
          <w:b/>
        </w:rPr>
        <w:t>Proposal 2: The configured grant timer, once started, runs to completion with no change to its</w:t>
      </w:r>
      <w:r w:rsidR="002240E6">
        <w:rPr>
          <w:b/>
        </w:rPr>
        <w:t xml:space="preserve"> original</w:t>
      </w:r>
      <w:r w:rsidRPr="005836BB">
        <w:rPr>
          <w:b/>
        </w:rPr>
        <w:t xml:space="preserve"> duration if a BWP switch takes place. </w:t>
      </w:r>
    </w:p>
    <w:sectPr w:rsidR="001F2E4A" w:rsidRPr="00240B2A" w:rsidSect="001F2E4A">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2442" w:rsidRDefault="00852442" w:rsidP="009B39CD">
      <w:pPr>
        <w:spacing w:after="0"/>
      </w:pPr>
      <w:r>
        <w:separator/>
      </w:r>
    </w:p>
  </w:endnote>
  <w:endnote w:type="continuationSeparator" w:id="0">
    <w:p w:rsidR="00852442" w:rsidRDefault="00852442" w:rsidP="009B39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2442" w:rsidRDefault="00852442" w:rsidP="009B39CD">
      <w:pPr>
        <w:spacing w:after="0"/>
      </w:pPr>
      <w:r>
        <w:separator/>
      </w:r>
    </w:p>
  </w:footnote>
  <w:footnote w:type="continuationSeparator" w:id="0">
    <w:p w:rsidR="00852442" w:rsidRDefault="00852442" w:rsidP="009B39C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multilevel"/>
    <w:tmpl w:val="00045513"/>
    <w:lvl w:ilvl="0">
      <w:start w:val="1"/>
      <w:numFmt w:val="decimal"/>
      <w:lvlText w:val="[%1]."/>
      <w:lvlJc w:val="left"/>
      <w:pPr>
        <w:ind w:left="360" w:hanging="360"/>
      </w:pPr>
      <w:rPr>
        <w:rFonts w:ascii="Arial" w:hAnsi="Arial" w:cs="Arial" w:hint="default"/>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bordersDoNotSurroundHeader/>
  <w:bordersDoNotSurroundFooter/>
  <w:defaultTabStop w:val="720"/>
  <w:characterSpacingControl w:val="doNotCompress"/>
  <w:hdrShapeDefaults>
    <o:shapedefaults v:ext="edit" spidmax="9217"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szC1MDEzMjS0NDYAAiUdpeDU4uLM/DyQAsNaAELRZiQsAAAA"/>
  </w:docVars>
  <w:rsids>
    <w:rsidRoot w:val="0047408E"/>
    <w:rsid w:val="0000060F"/>
    <w:rsid w:val="0001248E"/>
    <w:rsid w:val="00013260"/>
    <w:rsid w:val="00020058"/>
    <w:rsid w:val="00025B34"/>
    <w:rsid w:val="00040214"/>
    <w:rsid w:val="000523FE"/>
    <w:rsid w:val="000548E6"/>
    <w:rsid w:val="00055571"/>
    <w:rsid w:val="0007366D"/>
    <w:rsid w:val="00073B0C"/>
    <w:rsid w:val="00073BD0"/>
    <w:rsid w:val="00075778"/>
    <w:rsid w:val="00075861"/>
    <w:rsid w:val="00081940"/>
    <w:rsid w:val="00087FDA"/>
    <w:rsid w:val="00093622"/>
    <w:rsid w:val="0009615A"/>
    <w:rsid w:val="00096D24"/>
    <w:rsid w:val="000974A4"/>
    <w:rsid w:val="000A1916"/>
    <w:rsid w:val="000A3D4A"/>
    <w:rsid w:val="000B4EA8"/>
    <w:rsid w:val="000C5C28"/>
    <w:rsid w:val="000D136C"/>
    <w:rsid w:val="000D54B6"/>
    <w:rsid w:val="000D6317"/>
    <w:rsid w:val="000E3D54"/>
    <w:rsid w:val="000F0DC8"/>
    <w:rsid w:val="00100B7F"/>
    <w:rsid w:val="00114B54"/>
    <w:rsid w:val="001200C3"/>
    <w:rsid w:val="001269F9"/>
    <w:rsid w:val="00126EAE"/>
    <w:rsid w:val="00133CC4"/>
    <w:rsid w:val="00136896"/>
    <w:rsid w:val="0013744E"/>
    <w:rsid w:val="001409B5"/>
    <w:rsid w:val="00141314"/>
    <w:rsid w:val="0014166E"/>
    <w:rsid w:val="001430E0"/>
    <w:rsid w:val="00147B2C"/>
    <w:rsid w:val="00155F66"/>
    <w:rsid w:val="00156BC1"/>
    <w:rsid w:val="00163F50"/>
    <w:rsid w:val="00165792"/>
    <w:rsid w:val="00166C94"/>
    <w:rsid w:val="00170C0E"/>
    <w:rsid w:val="0017118B"/>
    <w:rsid w:val="001727E1"/>
    <w:rsid w:val="0017542E"/>
    <w:rsid w:val="00192E61"/>
    <w:rsid w:val="001975BE"/>
    <w:rsid w:val="001A48A9"/>
    <w:rsid w:val="001A762C"/>
    <w:rsid w:val="001B4B48"/>
    <w:rsid w:val="001B5BCB"/>
    <w:rsid w:val="001C0ECC"/>
    <w:rsid w:val="001C7509"/>
    <w:rsid w:val="001D28F2"/>
    <w:rsid w:val="001D762D"/>
    <w:rsid w:val="001E6778"/>
    <w:rsid w:val="001F0640"/>
    <w:rsid w:val="001F200D"/>
    <w:rsid w:val="001F2E4A"/>
    <w:rsid w:val="001F70C6"/>
    <w:rsid w:val="001F7F73"/>
    <w:rsid w:val="002007D8"/>
    <w:rsid w:val="00201EE0"/>
    <w:rsid w:val="00202787"/>
    <w:rsid w:val="002049B5"/>
    <w:rsid w:val="002069B1"/>
    <w:rsid w:val="00213875"/>
    <w:rsid w:val="00215398"/>
    <w:rsid w:val="00217350"/>
    <w:rsid w:val="0021747C"/>
    <w:rsid w:val="00223084"/>
    <w:rsid w:val="002240E6"/>
    <w:rsid w:val="00226207"/>
    <w:rsid w:val="00226861"/>
    <w:rsid w:val="00231F18"/>
    <w:rsid w:val="00240B2A"/>
    <w:rsid w:val="00240B8C"/>
    <w:rsid w:val="00243145"/>
    <w:rsid w:val="00243802"/>
    <w:rsid w:val="002649FE"/>
    <w:rsid w:val="002663AB"/>
    <w:rsid w:val="00267FBD"/>
    <w:rsid w:val="0027426C"/>
    <w:rsid w:val="0028045E"/>
    <w:rsid w:val="00287735"/>
    <w:rsid w:val="00291158"/>
    <w:rsid w:val="002A0171"/>
    <w:rsid w:val="002B0FB7"/>
    <w:rsid w:val="002B38C7"/>
    <w:rsid w:val="002B63BA"/>
    <w:rsid w:val="002C041D"/>
    <w:rsid w:val="002D0BC0"/>
    <w:rsid w:val="002D1AF1"/>
    <w:rsid w:val="002D1D0F"/>
    <w:rsid w:val="002D26C1"/>
    <w:rsid w:val="002E2BEB"/>
    <w:rsid w:val="002E65CB"/>
    <w:rsid w:val="002F3ACA"/>
    <w:rsid w:val="002F433F"/>
    <w:rsid w:val="002F6785"/>
    <w:rsid w:val="00300ADC"/>
    <w:rsid w:val="00303420"/>
    <w:rsid w:val="00307E68"/>
    <w:rsid w:val="0031695B"/>
    <w:rsid w:val="0032335A"/>
    <w:rsid w:val="003309A5"/>
    <w:rsid w:val="0033166C"/>
    <w:rsid w:val="00335E4C"/>
    <w:rsid w:val="00341FA0"/>
    <w:rsid w:val="00346B67"/>
    <w:rsid w:val="003511CF"/>
    <w:rsid w:val="00361021"/>
    <w:rsid w:val="00373BD8"/>
    <w:rsid w:val="00373C0E"/>
    <w:rsid w:val="00373EAC"/>
    <w:rsid w:val="0037612A"/>
    <w:rsid w:val="00377670"/>
    <w:rsid w:val="00383C03"/>
    <w:rsid w:val="00383DAD"/>
    <w:rsid w:val="003841AC"/>
    <w:rsid w:val="0039454C"/>
    <w:rsid w:val="003A1F32"/>
    <w:rsid w:val="003B127D"/>
    <w:rsid w:val="003C513C"/>
    <w:rsid w:val="003C7032"/>
    <w:rsid w:val="003C75CD"/>
    <w:rsid w:val="003D776E"/>
    <w:rsid w:val="003E0A4C"/>
    <w:rsid w:val="003E23EB"/>
    <w:rsid w:val="003E6BA7"/>
    <w:rsid w:val="003E7064"/>
    <w:rsid w:val="003F0559"/>
    <w:rsid w:val="0040040F"/>
    <w:rsid w:val="00401842"/>
    <w:rsid w:val="00401B83"/>
    <w:rsid w:val="004109AF"/>
    <w:rsid w:val="004132A1"/>
    <w:rsid w:val="004150E9"/>
    <w:rsid w:val="00415CB4"/>
    <w:rsid w:val="00417A8D"/>
    <w:rsid w:val="004201B3"/>
    <w:rsid w:val="00421E51"/>
    <w:rsid w:val="00431D67"/>
    <w:rsid w:val="004328F9"/>
    <w:rsid w:val="00434E37"/>
    <w:rsid w:val="00437533"/>
    <w:rsid w:val="0044064E"/>
    <w:rsid w:val="00443F0A"/>
    <w:rsid w:val="0045224D"/>
    <w:rsid w:val="004579B2"/>
    <w:rsid w:val="004605AD"/>
    <w:rsid w:val="00464C3D"/>
    <w:rsid w:val="0047408E"/>
    <w:rsid w:val="0047555E"/>
    <w:rsid w:val="00480D3D"/>
    <w:rsid w:val="004854D7"/>
    <w:rsid w:val="0049088A"/>
    <w:rsid w:val="00493017"/>
    <w:rsid w:val="0049305F"/>
    <w:rsid w:val="00493923"/>
    <w:rsid w:val="004A1C90"/>
    <w:rsid w:val="004B2F85"/>
    <w:rsid w:val="004B390C"/>
    <w:rsid w:val="004D086F"/>
    <w:rsid w:val="004D21E2"/>
    <w:rsid w:val="004E04A7"/>
    <w:rsid w:val="004E262D"/>
    <w:rsid w:val="004E4D2A"/>
    <w:rsid w:val="004E630A"/>
    <w:rsid w:val="00500584"/>
    <w:rsid w:val="005026F7"/>
    <w:rsid w:val="00512989"/>
    <w:rsid w:val="00527C56"/>
    <w:rsid w:val="00540A90"/>
    <w:rsid w:val="0054798E"/>
    <w:rsid w:val="00551502"/>
    <w:rsid w:val="005519B7"/>
    <w:rsid w:val="00554569"/>
    <w:rsid w:val="00562004"/>
    <w:rsid w:val="00567DA7"/>
    <w:rsid w:val="005824A0"/>
    <w:rsid w:val="00582D0E"/>
    <w:rsid w:val="005836BB"/>
    <w:rsid w:val="005861F6"/>
    <w:rsid w:val="005865AA"/>
    <w:rsid w:val="005969D0"/>
    <w:rsid w:val="005A759D"/>
    <w:rsid w:val="005B008A"/>
    <w:rsid w:val="005B355D"/>
    <w:rsid w:val="005C1A3E"/>
    <w:rsid w:val="005C3630"/>
    <w:rsid w:val="005C7F6C"/>
    <w:rsid w:val="005D591C"/>
    <w:rsid w:val="005F75A8"/>
    <w:rsid w:val="00625D29"/>
    <w:rsid w:val="006400FB"/>
    <w:rsid w:val="006552CF"/>
    <w:rsid w:val="00664CF7"/>
    <w:rsid w:val="00670F22"/>
    <w:rsid w:val="00677BCF"/>
    <w:rsid w:val="006801F6"/>
    <w:rsid w:val="0068501E"/>
    <w:rsid w:val="006876AE"/>
    <w:rsid w:val="00687CEB"/>
    <w:rsid w:val="00690449"/>
    <w:rsid w:val="00690940"/>
    <w:rsid w:val="0069420C"/>
    <w:rsid w:val="006A2060"/>
    <w:rsid w:val="006A2E2D"/>
    <w:rsid w:val="006A4A26"/>
    <w:rsid w:val="006A4E4A"/>
    <w:rsid w:val="006B056D"/>
    <w:rsid w:val="006B165C"/>
    <w:rsid w:val="006C4B70"/>
    <w:rsid w:val="006C4CC9"/>
    <w:rsid w:val="006C6CE0"/>
    <w:rsid w:val="006C7C77"/>
    <w:rsid w:val="006D172D"/>
    <w:rsid w:val="006D426E"/>
    <w:rsid w:val="006D5C2D"/>
    <w:rsid w:val="006D6345"/>
    <w:rsid w:val="006F7373"/>
    <w:rsid w:val="00700F9C"/>
    <w:rsid w:val="00702F20"/>
    <w:rsid w:val="00703589"/>
    <w:rsid w:val="00704142"/>
    <w:rsid w:val="007078AF"/>
    <w:rsid w:val="00710A8E"/>
    <w:rsid w:val="00711DC8"/>
    <w:rsid w:val="00712C8E"/>
    <w:rsid w:val="00713C6A"/>
    <w:rsid w:val="00713F89"/>
    <w:rsid w:val="00720F62"/>
    <w:rsid w:val="007214BC"/>
    <w:rsid w:val="00722DB0"/>
    <w:rsid w:val="00723122"/>
    <w:rsid w:val="00736B6A"/>
    <w:rsid w:val="00742B87"/>
    <w:rsid w:val="00753587"/>
    <w:rsid w:val="00754881"/>
    <w:rsid w:val="00756132"/>
    <w:rsid w:val="007563AB"/>
    <w:rsid w:val="007672C6"/>
    <w:rsid w:val="0077005B"/>
    <w:rsid w:val="00771F63"/>
    <w:rsid w:val="00777A70"/>
    <w:rsid w:val="00783B45"/>
    <w:rsid w:val="00785999"/>
    <w:rsid w:val="00790435"/>
    <w:rsid w:val="0079295F"/>
    <w:rsid w:val="00795B44"/>
    <w:rsid w:val="007A3411"/>
    <w:rsid w:val="007A5608"/>
    <w:rsid w:val="007B29C1"/>
    <w:rsid w:val="007B4064"/>
    <w:rsid w:val="007B59AD"/>
    <w:rsid w:val="007B7802"/>
    <w:rsid w:val="007C397A"/>
    <w:rsid w:val="007C3C07"/>
    <w:rsid w:val="007D426C"/>
    <w:rsid w:val="007D723A"/>
    <w:rsid w:val="007E1429"/>
    <w:rsid w:val="007E14F8"/>
    <w:rsid w:val="007E4433"/>
    <w:rsid w:val="007E6EE0"/>
    <w:rsid w:val="007F09B9"/>
    <w:rsid w:val="007F4089"/>
    <w:rsid w:val="00800DAD"/>
    <w:rsid w:val="00801CAA"/>
    <w:rsid w:val="008071DF"/>
    <w:rsid w:val="008107E6"/>
    <w:rsid w:val="00814577"/>
    <w:rsid w:val="00814C55"/>
    <w:rsid w:val="00815A39"/>
    <w:rsid w:val="00816062"/>
    <w:rsid w:val="00817344"/>
    <w:rsid w:val="00822618"/>
    <w:rsid w:val="008356AE"/>
    <w:rsid w:val="00845E69"/>
    <w:rsid w:val="00846AAB"/>
    <w:rsid w:val="00847C59"/>
    <w:rsid w:val="00851A3E"/>
    <w:rsid w:val="00852442"/>
    <w:rsid w:val="0085328A"/>
    <w:rsid w:val="00855F00"/>
    <w:rsid w:val="00856847"/>
    <w:rsid w:val="00861DA7"/>
    <w:rsid w:val="008631C0"/>
    <w:rsid w:val="00864BCD"/>
    <w:rsid w:val="008731F6"/>
    <w:rsid w:val="00875FA1"/>
    <w:rsid w:val="0087752B"/>
    <w:rsid w:val="008809BE"/>
    <w:rsid w:val="00880DD0"/>
    <w:rsid w:val="00882E67"/>
    <w:rsid w:val="00882F5A"/>
    <w:rsid w:val="0088674B"/>
    <w:rsid w:val="008924F7"/>
    <w:rsid w:val="008A0B55"/>
    <w:rsid w:val="008A1D06"/>
    <w:rsid w:val="008A1FFD"/>
    <w:rsid w:val="008B434E"/>
    <w:rsid w:val="008B64FC"/>
    <w:rsid w:val="008B7B72"/>
    <w:rsid w:val="008C0489"/>
    <w:rsid w:val="008C0B6C"/>
    <w:rsid w:val="008C6ADE"/>
    <w:rsid w:val="008E5AF8"/>
    <w:rsid w:val="008F16CE"/>
    <w:rsid w:val="009016D9"/>
    <w:rsid w:val="0090504E"/>
    <w:rsid w:val="009063D8"/>
    <w:rsid w:val="00906CFA"/>
    <w:rsid w:val="00920565"/>
    <w:rsid w:val="00926248"/>
    <w:rsid w:val="00926756"/>
    <w:rsid w:val="009271A8"/>
    <w:rsid w:val="0094700E"/>
    <w:rsid w:val="009510F5"/>
    <w:rsid w:val="0095201F"/>
    <w:rsid w:val="00956774"/>
    <w:rsid w:val="00956BA5"/>
    <w:rsid w:val="00964157"/>
    <w:rsid w:val="00966DC1"/>
    <w:rsid w:val="00970848"/>
    <w:rsid w:val="00972DFF"/>
    <w:rsid w:val="0099013F"/>
    <w:rsid w:val="00993ADA"/>
    <w:rsid w:val="009A1CC9"/>
    <w:rsid w:val="009A4BB9"/>
    <w:rsid w:val="009B39CD"/>
    <w:rsid w:val="009B4D5F"/>
    <w:rsid w:val="009C4143"/>
    <w:rsid w:val="009C6839"/>
    <w:rsid w:val="009C7881"/>
    <w:rsid w:val="009D345C"/>
    <w:rsid w:val="009D42C7"/>
    <w:rsid w:val="009D591D"/>
    <w:rsid w:val="009D5D48"/>
    <w:rsid w:val="009E3BA0"/>
    <w:rsid w:val="009F27CE"/>
    <w:rsid w:val="00A2283B"/>
    <w:rsid w:val="00A24B3F"/>
    <w:rsid w:val="00A276B6"/>
    <w:rsid w:val="00A27B00"/>
    <w:rsid w:val="00A5647E"/>
    <w:rsid w:val="00A67926"/>
    <w:rsid w:val="00A70661"/>
    <w:rsid w:val="00A7685B"/>
    <w:rsid w:val="00A929FF"/>
    <w:rsid w:val="00A95A35"/>
    <w:rsid w:val="00AA4223"/>
    <w:rsid w:val="00AA6BDF"/>
    <w:rsid w:val="00AB11F8"/>
    <w:rsid w:val="00AB2D57"/>
    <w:rsid w:val="00AB3413"/>
    <w:rsid w:val="00AC3AC0"/>
    <w:rsid w:val="00AC4BA5"/>
    <w:rsid w:val="00AD083C"/>
    <w:rsid w:val="00AD12DA"/>
    <w:rsid w:val="00AD15AB"/>
    <w:rsid w:val="00AD622A"/>
    <w:rsid w:val="00AE5B3A"/>
    <w:rsid w:val="00AE68B4"/>
    <w:rsid w:val="00AF0923"/>
    <w:rsid w:val="00AF1407"/>
    <w:rsid w:val="00AF24D8"/>
    <w:rsid w:val="00AF44A4"/>
    <w:rsid w:val="00AF6C47"/>
    <w:rsid w:val="00B019D1"/>
    <w:rsid w:val="00B31C63"/>
    <w:rsid w:val="00B32E21"/>
    <w:rsid w:val="00B33AF8"/>
    <w:rsid w:val="00B34DED"/>
    <w:rsid w:val="00B357DE"/>
    <w:rsid w:val="00B36A08"/>
    <w:rsid w:val="00B402E5"/>
    <w:rsid w:val="00B472B9"/>
    <w:rsid w:val="00B47679"/>
    <w:rsid w:val="00B47CC1"/>
    <w:rsid w:val="00B52077"/>
    <w:rsid w:val="00B55AED"/>
    <w:rsid w:val="00B60E3B"/>
    <w:rsid w:val="00B623EF"/>
    <w:rsid w:val="00B62A44"/>
    <w:rsid w:val="00B63477"/>
    <w:rsid w:val="00B63AA2"/>
    <w:rsid w:val="00B80954"/>
    <w:rsid w:val="00B87550"/>
    <w:rsid w:val="00B95298"/>
    <w:rsid w:val="00BA5323"/>
    <w:rsid w:val="00BA6406"/>
    <w:rsid w:val="00BB1E89"/>
    <w:rsid w:val="00BB289F"/>
    <w:rsid w:val="00BC3B0C"/>
    <w:rsid w:val="00BD0735"/>
    <w:rsid w:val="00BD47DB"/>
    <w:rsid w:val="00BD754F"/>
    <w:rsid w:val="00BE175A"/>
    <w:rsid w:val="00BE5AFD"/>
    <w:rsid w:val="00BE5DBC"/>
    <w:rsid w:val="00BE7E4F"/>
    <w:rsid w:val="00BF119E"/>
    <w:rsid w:val="00BF12FA"/>
    <w:rsid w:val="00BF1317"/>
    <w:rsid w:val="00BF2313"/>
    <w:rsid w:val="00BF5C68"/>
    <w:rsid w:val="00C02287"/>
    <w:rsid w:val="00C1340E"/>
    <w:rsid w:val="00C14120"/>
    <w:rsid w:val="00C21525"/>
    <w:rsid w:val="00C31430"/>
    <w:rsid w:val="00C34FD7"/>
    <w:rsid w:val="00C36865"/>
    <w:rsid w:val="00C368B2"/>
    <w:rsid w:val="00C370DF"/>
    <w:rsid w:val="00C4341D"/>
    <w:rsid w:val="00C503AF"/>
    <w:rsid w:val="00C5399A"/>
    <w:rsid w:val="00C56849"/>
    <w:rsid w:val="00C62AAD"/>
    <w:rsid w:val="00C6616A"/>
    <w:rsid w:val="00C70A8F"/>
    <w:rsid w:val="00C922FD"/>
    <w:rsid w:val="00C95EF2"/>
    <w:rsid w:val="00C96C20"/>
    <w:rsid w:val="00CA1161"/>
    <w:rsid w:val="00CA1738"/>
    <w:rsid w:val="00CA23A9"/>
    <w:rsid w:val="00CB0624"/>
    <w:rsid w:val="00CB0BFC"/>
    <w:rsid w:val="00CB4339"/>
    <w:rsid w:val="00CB6D61"/>
    <w:rsid w:val="00CD07B7"/>
    <w:rsid w:val="00CD1CF0"/>
    <w:rsid w:val="00CE035B"/>
    <w:rsid w:val="00CF1543"/>
    <w:rsid w:val="00CF5334"/>
    <w:rsid w:val="00CF72CE"/>
    <w:rsid w:val="00D10715"/>
    <w:rsid w:val="00D13F9C"/>
    <w:rsid w:val="00D14684"/>
    <w:rsid w:val="00D14A97"/>
    <w:rsid w:val="00D168A9"/>
    <w:rsid w:val="00D16D78"/>
    <w:rsid w:val="00D175A2"/>
    <w:rsid w:val="00D21E18"/>
    <w:rsid w:val="00D2529F"/>
    <w:rsid w:val="00D25729"/>
    <w:rsid w:val="00D311D8"/>
    <w:rsid w:val="00D316FE"/>
    <w:rsid w:val="00D3239A"/>
    <w:rsid w:val="00D41D0E"/>
    <w:rsid w:val="00D41F21"/>
    <w:rsid w:val="00D43177"/>
    <w:rsid w:val="00D4560D"/>
    <w:rsid w:val="00D540CF"/>
    <w:rsid w:val="00D61208"/>
    <w:rsid w:val="00D67D9C"/>
    <w:rsid w:val="00D717D8"/>
    <w:rsid w:val="00D72A99"/>
    <w:rsid w:val="00D76DB5"/>
    <w:rsid w:val="00D81391"/>
    <w:rsid w:val="00D92925"/>
    <w:rsid w:val="00D92C95"/>
    <w:rsid w:val="00DA200F"/>
    <w:rsid w:val="00DB65BA"/>
    <w:rsid w:val="00DB6C02"/>
    <w:rsid w:val="00DC075C"/>
    <w:rsid w:val="00DC1B9C"/>
    <w:rsid w:val="00DC28D0"/>
    <w:rsid w:val="00DC5730"/>
    <w:rsid w:val="00DE1181"/>
    <w:rsid w:val="00DE4CEF"/>
    <w:rsid w:val="00DE55E5"/>
    <w:rsid w:val="00DE57A2"/>
    <w:rsid w:val="00DF0232"/>
    <w:rsid w:val="00DF0EDD"/>
    <w:rsid w:val="00DF27EC"/>
    <w:rsid w:val="00DF3414"/>
    <w:rsid w:val="00E102EB"/>
    <w:rsid w:val="00E12850"/>
    <w:rsid w:val="00E13527"/>
    <w:rsid w:val="00E1510C"/>
    <w:rsid w:val="00E178A9"/>
    <w:rsid w:val="00E17E8A"/>
    <w:rsid w:val="00E218CB"/>
    <w:rsid w:val="00E348C2"/>
    <w:rsid w:val="00E44F98"/>
    <w:rsid w:val="00E469DB"/>
    <w:rsid w:val="00E47A1A"/>
    <w:rsid w:val="00E52D5D"/>
    <w:rsid w:val="00E65D53"/>
    <w:rsid w:val="00E66904"/>
    <w:rsid w:val="00E72A21"/>
    <w:rsid w:val="00E75130"/>
    <w:rsid w:val="00E75837"/>
    <w:rsid w:val="00E861BC"/>
    <w:rsid w:val="00E9103E"/>
    <w:rsid w:val="00E922C6"/>
    <w:rsid w:val="00E9472D"/>
    <w:rsid w:val="00E96166"/>
    <w:rsid w:val="00E966F1"/>
    <w:rsid w:val="00E97EB7"/>
    <w:rsid w:val="00EA5C61"/>
    <w:rsid w:val="00EA6A61"/>
    <w:rsid w:val="00EB1F9E"/>
    <w:rsid w:val="00EB3018"/>
    <w:rsid w:val="00EB6537"/>
    <w:rsid w:val="00EC7323"/>
    <w:rsid w:val="00ED7ABE"/>
    <w:rsid w:val="00EE5839"/>
    <w:rsid w:val="00EE58BD"/>
    <w:rsid w:val="00EF332D"/>
    <w:rsid w:val="00EF64C5"/>
    <w:rsid w:val="00EF7A42"/>
    <w:rsid w:val="00F01ED6"/>
    <w:rsid w:val="00F1022B"/>
    <w:rsid w:val="00F122C4"/>
    <w:rsid w:val="00F1372C"/>
    <w:rsid w:val="00F20218"/>
    <w:rsid w:val="00F4129E"/>
    <w:rsid w:val="00F426A6"/>
    <w:rsid w:val="00F61B3B"/>
    <w:rsid w:val="00F7592B"/>
    <w:rsid w:val="00F82D33"/>
    <w:rsid w:val="00F8665F"/>
    <w:rsid w:val="00F9019F"/>
    <w:rsid w:val="00F95440"/>
    <w:rsid w:val="00F970BB"/>
    <w:rsid w:val="00FA0586"/>
    <w:rsid w:val="00FA6F39"/>
    <w:rsid w:val="00FB1C64"/>
    <w:rsid w:val="00FC2060"/>
    <w:rsid w:val="00FC5B88"/>
    <w:rsid w:val="00FC69A7"/>
    <w:rsid w:val="00FD75F1"/>
    <w:rsid w:val="00FE0559"/>
    <w:rsid w:val="00FE485E"/>
    <w:rsid w:val="00FF0030"/>
    <w:rsid w:val="00FF0B0A"/>
    <w:rsid w:val="00FF230F"/>
    <w:rsid w:val="00FF53F8"/>
    <w:rsid w:val="29693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7"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uiPriority="0"/>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E4A"/>
    <w:pPr>
      <w:overflowPunct w:val="0"/>
      <w:autoSpaceDE w:val="0"/>
      <w:autoSpaceDN w:val="0"/>
      <w:adjustRightInd w:val="0"/>
      <w:spacing w:after="180"/>
      <w:jc w:val="both"/>
      <w:textAlignment w:val="baseline"/>
    </w:pPr>
    <w:rPr>
      <w:rFonts w:ascii="Arial" w:hAnsi="Arial"/>
      <w:lang w:val="en-GB" w:eastAsia="en-US"/>
    </w:rPr>
  </w:style>
  <w:style w:type="paragraph" w:styleId="Heading1">
    <w:name w:val="heading 1"/>
    <w:next w:val="Normal"/>
    <w:link w:val="Heading1Char"/>
    <w:qFormat/>
    <w:rsid w:val="001F2E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1F2E4A"/>
    <w:pPr>
      <w:pBdr>
        <w:top w:val="none" w:sz="0" w:space="0" w:color="auto"/>
      </w:pBdr>
      <w:spacing w:before="180"/>
      <w:outlineLvl w:val="1"/>
    </w:pPr>
    <w:rPr>
      <w:sz w:val="32"/>
    </w:rPr>
  </w:style>
  <w:style w:type="paragraph" w:styleId="Heading3">
    <w:name w:val="heading 3"/>
    <w:basedOn w:val="Heading2"/>
    <w:next w:val="Normal"/>
    <w:link w:val="Heading3Char"/>
    <w:qFormat/>
    <w:rsid w:val="001F2E4A"/>
    <w:pPr>
      <w:spacing w:before="120"/>
      <w:outlineLvl w:val="2"/>
    </w:pPr>
    <w:rPr>
      <w:sz w:val="28"/>
    </w:rPr>
  </w:style>
  <w:style w:type="paragraph" w:styleId="Heading4">
    <w:name w:val="heading 4"/>
    <w:basedOn w:val="Heading3"/>
    <w:next w:val="Normal"/>
    <w:link w:val="Heading4Char"/>
    <w:qFormat/>
    <w:rsid w:val="001F2E4A"/>
    <w:pPr>
      <w:ind w:left="1418" w:hanging="1418"/>
      <w:outlineLvl w:val="3"/>
    </w:pPr>
    <w:rPr>
      <w:sz w:val="24"/>
    </w:rPr>
  </w:style>
  <w:style w:type="paragraph" w:styleId="Heading5">
    <w:name w:val="heading 5"/>
    <w:basedOn w:val="Heading4"/>
    <w:next w:val="Normal"/>
    <w:link w:val="Heading5Char"/>
    <w:qFormat/>
    <w:rsid w:val="001F2E4A"/>
    <w:pPr>
      <w:ind w:left="1701" w:hanging="1701"/>
      <w:outlineLvl w:val="4"/>
    </w:pPr>
    <w:rPr>
      <w:sz w:val="22"/>
    </w:rPr>
  </w:style>
  <w:style w:type="paragraph" w:styleId="Heading6">
    <w:name w:val="heading 6"/>
    <w:basedOn w:val="Normal"/>
    <w:next w:val="Normal"/>
    <w:link w:val="Heading6Char"/>
    <w:qFormat/>
    <w:rsid w:val="001F2E4A"/>
    <w:pPr>
      <w:keepNext/>
      <w:keepLines/>
      <w:spacing w:before="120"/>
      <w:ind w:left="1985" w:hanging="1985"/>
      <w:outlineLvl w:val="5"/>
    </w:pPr>
  </w:style>
  <w:style w:type="paragraph" w:styleId="Heading7">
    <w:name w:val="heading 7"/>
    <w:basedOn w:val="Normal"/>
    <w:next w:val="Normal"/>
    <w:link w:val="Heading7Char"/>
    <w:qFormat/>
    <w:rsid w:val="001F2E4A"/>
    <w:pPr>
      <w:keepNext/>
      <w:keepLines/>
      <w:spacing w:before="120"/>
      <w:ind w:left="1985" w:hanging="1985"/>
      <w:outlineLvl w:val="6"/>
    </w:pPr>
  </w:style>
  <w:style w:type="paragraph" w:styleId="Heading8">
    <w:name w:val="heading 8"/>
    <w:basedOn w:val="Heading1"/>
    <w:next w:val="Normal"/>
    <w:link w:val="Heading8Char"/>
    <w:qFormat/>
    <w:rsid w:val="001F2E4A"/>
    <w:pPr>
      <w:ind w:left="0" w:firstLine="0"/>
      <w:outlineLvl w:val="7"/>
    </w:pPr>
  </w:style>
  <w:style w:type="paragraph" w:styleId="Heading9">
    <w:name w:val="heading 9"/>
    <w:basedOn w:val="Heading8"/>
    <w:next w:val="Normal"/>
    <w:link w:val="Heading9Char"/>
    <w:qFormat/>
    <w:rsid w:val="001F2E4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rsid w:val="001F2E4A"/>
    <w:pPr>
      <w:ind w:left="849" w:hanging="283"/>
      <w:contextualSpacing/>
    </w:pPr>
  </w:style>
  <w:style w:type="paragraph" w:styleId="CommentSubject">
    <w:name w:val="annotation subject"/>
    <w:basedOn w:val="CommentText"/>
    <w:next w:val="CommentText"/>
    <w:link w:val="CommentSubjectChar"/>
    <w:uiPriority w:val="99"/>
    <w:unhideWhenUsed/>
    <w:rsid w:val="001F2E4A"/>
    <w:rPr>
      <w:b/>
      <w:bCs/>
      <w:lang w:val="en-GB"/>
    </w:rPr>
  </w:style>
  <w:style w:type="paragraph" w:styleId="CommentText">
    <w:name w:val="annotation text"/>
    <w:basedOn w:val="Normal"/>
    <w:link w:val="CommentTextChar"/>
    <w:semiHidden/>
    <w:rsid w:val="001F2E4A"/>
    <w:rPr>
      <w:lang w:val="en-US"/>
    </w:rPr>
  </w:style>
  <w:style w:type="paragraph" w:styleId="Caption">
    <w:name w:val="caption"/>
    <w:basedOn w:val="Normal"/>
    <w:next w:val="Normal"/>
    <w:qFormat/>
    <w:rsid w:val="001F2E4A"/>
    <w:pPr>
      <w:spacing w:before="120" w:after="120"/>
    </w:pPr>
    <w:rPr>
      <w:b/>
    </w:rPr>
  </w:style>
  <w:style w:type="paragraph" w:styleId="BalloonText">
    <w:name w:val="Balloon Text"/>
    <w:basedOn w:val="Normal"/>
    <w:link w:val="BalloonTextChar"/>
    <w:uiPriority w:val="99"/>
    <w:unhideWhenUsed/>
    <w:rsid w:val="001F2E4A"/>
    <w:pPr>
      <w:spacing w:after="0"/>
    </w:pPr>
    <w:rPr>
      <w:rFonts w:ascii="Segoe UI" w:hAnsi="Segoe UI" w:cs="Segoe UI"/>
      <w:sz w:val="18"/>
      <w:szCs w:val="18"/>
    </w:rPr>
  </w:style>
  <w:style w:type="paragraph" w:styleId="Footer">
    <w:name w:val="footer"/>
    <w:basedOn w:val="Normal"/>
    <w:link w:val="FooterChar"/>
    <w:uiPriority w:val="99"/>
    <w:unhideWhenUsed/>
    <w:qFormat/>
    <w:rsid w:val="001F2E4A"/>
    <w:pPr>
      <w:tabs>
        <w:tab w:val="center" w:pos="4513"/>
        <w:tab w:val="right" w:pos="9026"/>
      </w:tabs>
      <w:spacing w:after="0"/>
    </w:pPr>
  </w:style>
  <w:style w:type="paragraph" w:styleId="Header">
    <w:name w:val="header"/>
    <w:link w:val="HeaderChar"/>
    <w:rsid w:val="001F2E4A"/>
    <w:pPr>
      <w:widowControl w:val="0"/>
    </w:pPr>
    <w:rPr>
      <w:rFonts w:ascii="Arial" w:hAnsi="Arial"/>
      <w:b/>
      <w:sz w:val="18"/>
      <w:lang w:val="en-GB" w:eastAsia="en-US"/>
    </w:rPr>
  </w:style>
  <w:style w:type="paragraph" w:styleId="List">
    <w:name w:val="List"/>
    <w:basedOn w:val="Normal"/>
    <w:uiPriority w:val="99"/>
    <w:unhideWhenUsed/>
    <w:qFormat/>
    <w:rsid w:val="001F2E4A"/>
    <w:pPr>
      <w:ind w:left="283" w:hanging="283"/>
      <w:contextualSpacing/>
    </w:pPr>
  </w:style>
  <w:style w:type="paragraph" w:styleId="List4">
    <w:name w:val="List 4"/>
    <w:basedOn w:val="Normal"/>
    <w:uiPriority w:val="99"/>
    <w:unhideWhenUsed/>
    <w:rsid w:val="001F2E4A"/>
    <w:pPr>
      <w:ind w:left="1132" w:hanging="283"/>
      <w:contextualSpacing/>
    </w:pPr>
  </w:style>
  <w:style w:type="character" w:styleId="CommentReference">
    <w:name w:val="annotation reference"/>
    <w:semiHidden/>
    <w:rsid w:val="001F2E4A"/>
    <w:rPr>
      <w:sz w:val="16"/>
    </w:rPr>
  </w:style>
  <w:style w:type="table" w:styleId="TableGrid">
    <w:name w:val="Table Grid"/>
    <w:basedOn w:val="TableNormal"/>
    <w:uiPriority w:val="39"/>
    <w:qFormat/>
    <w:rsid w:val="001F2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sid w:val="001F2E4A"/>
    <w:rPr>
      <w:rFonts w:ascii="Arial" w:hAnsi="Arial"/>
      <w:sz w:val="36"/>
    </w:rPr>
  </w:style>
  <w:style w:type="character" w:customStyle="1" w:styleId="Heading2Char">
    <w:name w:val="Heading 2 Char"/>
    <w:basedOn w:val="DefaultParagraphFont"/>
    <w:link w:val="Heading2"/>
    <w:qFormat/>
    <w:rsid w:val="001F2E4A"/>
    <w:rPr>
      <w:rFonts w:ascii="Arial" w:hAnsi="Arial"/>
      <w:sz w:val="32"/>
    </w:rPr>
  </w:style>
  <w:style w:type="character" w:customStyle="1" w:styleId="Heading3Char">
    <w:name w:val="Heading 3 Char"/>
    <w:basedOn w:val="DefaultParagraphFont"/>
    <w:link w:val="Heading3"/>
    <w:qFormat/>
    <w:rsid w:val="001F2E4A"/>
    <w:rPr>
      <w:rFonts w:ascii="Arial" w:hAnsi="Arial"/>
      <w:sz w:val="28"/>
    </w:rPr>
  </w:style>
  <w:style w:type="character" w:customStyle="1" w:styleId="Heading4Char">
    <w:name w:val="Heading 4 Char"/>
    <w:basedOn w:val="DefaultParagraphFont"/>
    <w:link w:val="Heading4"/>
    <w:qFormat/>
    <w:rsid w:val="001F2E4A"/>
    <w:rPr>
      <w:rFonts w:ascii="Arial" w:hAnsi="Arial"/>
      <w:sz w:val="24"/>
    </w:rPr>
  </w:style>
  <w:style w:type="character" w:customStyle="1" w:styleId="Heading5Char">
    <w:name w:val="Heading 5 Char"/>
    <w:basedOn w:val="DefaultParagraphFont"/>
    <w:link w:val="Heading5"/>
    <w:rsid w:val="001F2E4A"/>
    <w:rPr>
      <w:rFonts w:ascii="Arial" w:hAnsi="Arial"/>
      <w:sz w:val="22"/>
    </w:rPr>
  </w:style>
  <w:style w:type="character" w:customStyle="1" w:styleId="Heading6Char">
    <w:name w:val="Heading 6 Char"/>
    <w:basedOn w:val="DefaultParagraphFont"/>
    <w:link w:val="Heading6"/>
    <w:rsid w:val="001F2E4A"/>
    <w:rPr>
      <w:rFonts w:ascii="Arial" w:hAnsi="Arial"/>
    </w:rPr>
  </w:style>
  <w:style w:type="character" w:customStyle="1" w:styleId="Heading7Char">
    <w:name w:val="Heading 7 Char"/>
    <w:basedOn w:val="DefaultParagraphFont"/>
    <w:link w:val="Heading7"/>
    <w:qFormat/>
    <w:rsid w:val="001F2E4A"/>
    <w:rPr>
      <w:rFonts w:ascii="Arial" w:hAnsi="Arial"/>
    </w:rPr>
  </w:style>
  <w:style w:type="character" w:customStyle="1" w:styleId="Heading8Char">
    <w:name w:val="Heading 8 Char"/>
    <w:basedOn w:val="DefaultParagraphFont"/>
    <w:link w:val="Heading8"/>
    <w:rsid w:val="001F2E4A"/>
    <w:rPr>
      <w:rFonts w:ascii="Arial" w:hAnsi="Arial"/>
      <w:sz w:val="36"/>
    </w:rPr>
  </w:style>
  <w:style w:type="character" w:customStyle="1" w:styleId="Heading9Char">
    <w:name w:val="Heading 9 Char"/>
    <w:basedOn w:val="DefaultParagraphFont"/>
    <w:link w:val="Heading9"/>
    <w:qFormat/>
    <w:rsid w:val="001F2E4A"/>
    <w:rPr>
      <w:rFonts w:ascii="Arial" w:hAnsi="Arial"/>
      <w:sz w:val="36"/>
    </w:rPr>
  </w:style>
  <w:style w:type="character" w:customStyle="1" w:styleId="HeaderChar">
    <w:name w:val="Header Char"/>
    <w:basedOn w:val="DefaultParagraphFont"/>
    <w:link w:val="Header"/>
    <w:rsid w:val="001F2E4A"/>
    <w:rPr>
      <w:rFonts w:ascii="Arial" w:hAnsi="Arial"/>
      <w:b/>
      <w:sz w:val="18"/>
    </w:rPr>
  </w:style>
  <w:style w:type="paragraph" w:customStyle="1" w:styleId="CRCoverPage">
    <w:name w:val="CR Cover Page"/>
    <w:rsid w:val="001F2E4A"/>
    <w:pPr>
      <w:spacing w:after="120"/>
    </w:pPr>
    <w:rPr>
      <w:rFonts w:ascii="Arial" w:hAnsi="Arial"/>
      <w:lang w:val="en-GB" w:eastAsia="en-US"/>
    </w:rPr>
  </w:style>
  <w:style w:type="character" w:customStyle="1" w:styleId="CommentTextChar">
    <w:name w:val="Comment Text Char"/>
    <w:basedOn w:val="DefaultParagraphFont"/>
    <w:link w:val="CommentText"/>
    <w:semiHidden/>
    <w:rsid w:val="001F2E4A"/>
    <w:rPr>
      <w:lang w:val="en-US"/>
    </w:rPr>
  </w:style>
  <w:style w:type="character" w:customStyle="1" w:styleId="BalloonTextChar">
    <w:name w:val="Balloon Text Char"/>
    <w:basedOn w:val="DefaultParagraphFont"/>
    <w:link w:val="BalloonText"/>
    <w:uiPriority w:val="99"/>
    <w:semiHidden/>
    <w:rsid w:val="001F2E4A"/>
    <w:rPr>
      <w:rFonts w:ascii="Segoe UI" w:hAnsi="Segoe UI" w:cs="Segoe UI"/>
      <w:sz w:val="18"/>
      <w:szCs w:val="18"/>
    </w:rPr>
  </w:style>
  <w:style w:type="paragraph" w:customStyle="1" w:styleId="1">
    <w:name w:val="列出段落1"/>
    <w:basedOn w:val="Normal"/>
    <w:uiPriority w:val="34"/>
    <w:qFormat/>
    <w:rsid w:val="001F2E4A"/>
    <w:pPr>
      <w:ind w:left="720"/>
      <w:contextualSpacing/>
    </w:pPr>
  </w:style>
  <w:style w:type="character" w:customStyle="1" w:styleId="FooterChar">
    <w:name w:val="Footer Char"/>
    <w:basedOn w:val="DefaultParagraphFont"/>
    <w:link w:val="Footer"/>
    <w:uiPriority w:val="99"/>
    <w:rsid w:val="001F2E4A"/>
    <w:rPr>
      <w:rFonts w:ascii="Arial" w:hAnsi="Arial"/>
    </w:rPr>
  </w:style>
  <w:style w:type="character" w:customStyle="1" w:styleId="CommentSubjectChar">
    <w:name w:val="Comment Subject Char"/>
    <w:basedOn w:val="CommentTextChar"/>
    <w:link w:val="CommentSubject"/>
    <w:uiPriority w:val="99"/>
    <w:semiHidden/>
    <w:rsid w:val="001F2E4A"/>
    <w:rPr>
      <w:rFonts w:ascii="Arial" w:hAnsi="Arial"/>
      <w:b/>
      <w:bCs/>
      <w:lang w:val="en-US"/>
    </w:rPr>
  </w:style>
  <w:style w:type="paragraph" w:customStyle="1" w:styleId="B4">
    <w:name w:val="B4"/>
    <w:basedOn w:val="List4"/>
    <w:link w:val="B4Char"/>
    <w:qFormat/>
    <w:rsid w:val="001F2E4A"/>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qFormat/>
    <w:rsid w:val="001F2E4A"/>
    <w:rPr>
      <w:rFonts w:eastAsia="Malgun Gothic"/>
    </w:rPr>
  </w:style>
  <w:style w:type="paragraph" w:customStyle="1" w:styleId="B3">
    <w:name w:val="B3"/>
    <w:basedOn w:val="List3"/>
    <w:link w:val="B3Char"/>
    <w:rsid w:val="001F2E4A"/>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1F2E4A"/>
    <w:rPr>
      <w:rFonts w:eastAsia="Malgun Gothic"/>
    </w:rPr>
  </w:style>
  <w:style w:type="paragraph" w:customStyle="1" w:styleId="Doc-text2">
    <w:name w:val="Doc-text2"/>
    <w:basedOn w:val="Normal"/>
    <w:link w:val="Doc-text2Char"/>
    <w:qFormat/>
    <w:rsid w:val="001F2E4A"/>
    <w:pPr>
      <w:tabs>
        <w:tab w:val="left" w:pos="1622"/>
      </w:tabs>
      <w:spacing w:after="0"/>
      <w:ind w:left="1622" w:hanging="363"/>
      <w:jc w:val="left"/>
    </w:pPr>
    <w:rPr>
      <w:rFonts w:eastAsia="MS Mincho"/>
      <w:szCs w:val="24"/>
      <w:lang w:val="zh-CN" w:eastAsia="en-GB"/>
    </w:rPr>
  </w:style>
  <w:style w:type="character" w:customStyle="1" w:styleId="Doc-text2Char">
    <w:name w:val="Doc-text2 Char"/>
    <w:link w:val="Doc-text2"/>
    <w:rsid w:val="001F2E4A"/>
    <w:rPr>
      <w:rFonts w:ascii="Arial" w:eastAsia="MS Mincho" w:hAnsi="Arial"/>
      <w:szCs w:val="24"/>
      <w:lang w:val="zh-CN" w:eastAsia="en-GB"/>
    </w:rPr>
  </w:style>
  <w:style w:type="paragraph" w:customStyle="1" w:styleId="TF">
    <w:name w:val="TF"/>
    <w:basedOn w:val="TH"/>
    <w:link w:val="TFChar"/>
    <w:qFormat/>
    <w:rsid w:val="001F2E4A"/>
    <w:pPr>
      <w:keepNext w:val="0"/>
      <w:spacing w:before="0" w:after="240"/>
    </w:pPr>
  </w:style>
  <w:style w:type="paragraph" w:customStyle="1" w:styleId="TH">
    <w:name w:val="TH"/>
    <w:basedOn w:val="Normal"/>
    <w:link w:val="THChar"/>
    <w:qFormat/>
    <w:rsid w:val="001F2E4A"/>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qFormat/>
    <w:rsid w:val="001F2E4A"/>
    <w:rPr>
      <w:rFonts w:ascii="Arial" w:eastAsia="Malgun Gothic" w:hAnsi="Arial"/>
      <w:b/>
    </w:rPr>
  </w:style>
  <w:style w:type="character" w:customStyle="1" w:styleId="TFChar">
    <w:name w:val="TF Char"/>
    <w:link w:val="TF"/>
    <w:qFormat/>
    <w:rsid w:val="001F2E4A"/>
    <w:rPr>
      <w:rFonts w:ascii="Arial" w:eastAsia="Malgun Gothic" w:hAnsi="Arial"/>
      <w:b/>
    </w:rPr>
  </w:style>
  <w:style w:type="paragraph" w:customStyle="1" w:styleId="B1">
    <w:name w:val="B1"/>
    <w:basedOn w:val="List"/>
    <w:link w:val="B1Char"/>
    <w:qFormat/>
    <w:rsid w:val="001F2E4A"/>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qFormat/>
    <w:rsid w:val="001F2E4A"/>
    <w:rPr>
      <w:rFonts w:eastAsia="Malgun Gothic"/>
    </w:rPr>
  </w:style>
  <w:style w:type="paragraph" w:customStyle="1" w:styleId="TAL">
    <w:name w:val="TAL"/>
    <w:basedOn w:val="Normal"/>
    <w:link w:val="TALCar"/>
    <w:qFormat/>
    <w:rsid w:val="001F2E4A"/>
    <w:pPr>
      <w:keepNext/>
      <w:keepLines/>
      <w:spacing w:after="0"/>
      <w:jc w:val="left"/>
    </w:pPr>
    <w:rPr>
      <w:sz w:val="18"/>
      <w:lang w:val="zh-CN" w:eastAsia="zh-CN"/>
    </w:rPr>
  </w:style>
  <w:style w:type="character" w:customStyle="1" w:styleId="TALCar">
    <w:name w:val="TAL Car"/>
    <w:link w:val="TAL"/>
    <w:qFormat/>
    <w:rsid w:val="001F2E4A"/>
    <w:rPr>
      <w:rFonts w:ascii="Arial" w:hAnsi="Arial"/>
      <w:sz w:val="18"/>
      <w:lang w:val="zh-CN" w:eastAsia="zh-CN"/>
    </w:rPr>
  </w:style>
  <w:style w:type="paragraph" w:customStyle="1" w:styleId="TAH">
    <w:name w:val="TAH"/>
    <w:basedOn w:val="Normal"/>
    <w:link w:val="TAHCar"/>
    <w:qFormat/>
    <w:rsid w:val="001F2E4A"/>
    <w:pPr>
      <w:keepNext/>
      <w:keepLines/>
      <w:spacing w:after="0"/>
      <w:jc w:val="center"/>
    </w:pPr>
    <w:rPr>
      <w:b/>
      <w:sz w:val="18"/>
      <w:lang w:val="zh-CN" w:eastAsia="zh-CN"/>
    </w:rPr>
  </w:style>
  <w:style w:type="character" w:customStyle="1" w:styleId="TAHCar">
    <w:name w:val="TAH Car"/>
    <w:link w:val="TAH"/>
    <w:qFormat/>
    <w:locked/>
    <w:rsid w:val="001F2E4A"/>
    <w:rPr>
      <w:rFonts w:ascii="Arial" w:hAnsi="Arial"/>
      <w:b/>
      <w:sz w:val="18"/>
      <w:lang w:val="zh-CN" w:eastAsia="zh-CN"/>
    </w:rPr>
  </w:style>
  <w:style w:type="paragraph" w:customStyle="1" w:styleId="Normalwithindent">
    <w:name w:val="Normal with indent"/>
    <w:basedOn w:val="Normal"/>
    <w:link w:val="NormalwithindentChar"/>
    <w:qFormat/>
    <w:rsid w:val="001F2E4A"/>
    <w:pPr>
      <w:overflowPunct/>
      <w:autoSpaceDE/>
      <w:autoSpaceDN/>
      <w:adjustRightInd/>
      <w:spacing w:before="120" w:after="120" w:line="336" w:lineRule="auto"/>
      <w:ind w:firstLine="397"/>
      <w:textAlignment w:val="auto"/>
    </w:pPr>
    <w:rPr>
      <w:rFonts w:ascii="Times New Roman" w:eastAsia="Malgun Gothic" w:hAnsi="Times New Roman"/>
    </w:rPr>
  </w:style>
  <w:style w:type="character" w:customStyle="1" w:styleId="NormalwithindentChar">
    <w:name w:val="Normal with indent Char"/>
    <w:link w:val="Normalwithindent"/>
    <w:qFormat/>
    <w:rsid w:val="001F2E4A"/>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B70187-5E75-40E2-AD5B-E6498B1A0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1399</Words>
  <Characters>7975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2018-04-19T09:03:00Z</dcterms:created>
  <dcterms:modified xsi:type="dcterms:W3CDTF">2018-04-19T09:45:00Z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(2)uLZFg7t3dmONisWHYzgC9VTuSzBIfWIqecvq5cQ5nqw9vENR5qEF4Ips7QOaifvqHyIDDV6k
uGZpXX/c063IWmry7o8brkaYE+uPnYHsYrd0XbeWQuRpaMLn5N3D9deJejnngWNg6qfmaGH7
vTXBpsUALThy62BLZL3//Qp0naQfq7f6uSh2SHWcOj0VUxGpH81wzb0IYIXlJwbyua0tgAQ8
BqHxQ9N0IwH2dne+AS</vt:lpwstr>
  </property>
  <property fmtid="{D5CDD505-2E9C-101B-9397-08002B2CF9AE}" pid="3" name="_2015_ms_pID_7253431">
    <vt:lpwstr>fpAY802e8fm1dPNAW8cwJffPjwvQGW8eD0JWGCUoZV7nwhG5sCAVIR
p5YgDutwMEUM2X6pDZbdVoZNhTtf9GISmuol+dBBbbVFZKjNXqnsSdSgGYACTRbJ34Txs0Xi
30nQJOOa6swQ0957zzCEH6wR5eKJ6PaShDgVP5zDyy5G1GhbYLP+DmyyXF69+0x8b1en/8Aj
NJBTQCdK64Bi4CXT</vt:lpwstr>
  </property>
  <property fmtid="{D5CDD505-2E9C-101B-9397-08002B2CF9AE}" pid="4" name="KSOProductBuildVer">
    <vt:lpwstr>2052-10.8.0.6206</vt:lpwstr>
  </property>
</Properties>
</file>